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1106"/>
        <w:gridCol w:w="190"/>
        <w:gridCol w:w="4896"/>
        <w:gridCol w:w="190"/>
        <w:gridCol w:w="3589"/>
      </w:tblGrid>
      <w:tr w:rsidR="00AB3C4A" w14:paraId="4CF8601E" w14:textId="77777777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523607C5" w14:textId="77777777" w:rsidR="00AB3C4A" w:rsidRDefault="002D3DA6">
            <w:pPr>
              <w:jc w:val="center"/>
            </w:pPr>
            <w:r>
              <w:object w:dxaOrig="785" w:dyaOrig="867" w14:anchorId="61AD65CB">
                <v:shape id="ole_rId2" o:spid="_x0000_i1025" style="width:39.15pt;height:43.05pt" coordsize="21600,21600" stroked="f">
                  <v:imagedata r:id="rId5" o:title=""/>
                </v:shape>
                <o:OLEObject Type="Embed" ProgID="PBrush" ShapeID="ole_rId2" DrawAspect="Content" ObjectID="_1549960160" r:id="rId6"/>
              </w:objec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7DD4E250" w14:textId="77777777" w:rsidR="00AB3C4A" w:rsidRDefault="00AB3C4A">
            <w:pPr>
              <w:rPr>
                <w:sz w:val="34"/>
                <w:szCs w:val="34"/>
              </w:rPr>
            </w:pPr>
          </w:p>
        </w:tc>
        <w:tc>
          <w:tcPr>
            <w:tcW w:w="4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AFB0E6C" w14:textId="77777777" w:rsidR="00AB3C4A" w:rsidRDefault="002D3DA6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3C652CB6" w14:textId="77777777" w:rsidR="00AB3C4A" w:rsidRDefault="002D3DA6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1071161D" w14:textId="77777777" w:rsidR="00AB3C4A" w:rsidRDefault="002D3DA6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D6A21C3" w14:textId="77777777" w:rsidR="00AB3C4A" w:rsidRDefault="00AB3C4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4B9E1DC4" w14:textId="77777777" w:rsidR="00AB3C4A" w:rsidRDefault="00AB3C4A">
            <w:pPr>
              <w:rPr>
                <w:b/>
                <w:bCs/>
                <w:sz w:val="12"/>
                <w:szCs w:val="12"/>
              </w:rPr>
            </w:pPr>
          </w:p>
          <w:p w14:paraId="0BE8BF93" w14:textId="77777777" w:rsidR="00AB3C4A" w:rsidRDefault="002D3DA6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7B0A15EF" w14:textId="77777777" w:rsidR="00AB3C4A" w:rsidRDefault="002D3DA6">
            <w:pPr>
              <w:jc w:val="center"/>
              <w:rPr>
                <w:b/>
                <w:bCs/>
                <w:spacing w:val="20"/>
                <w:sz w:val="30"/>
                <w:szCs w:val="30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6F8C471F" w14:textId="77777777" w:rsidR="00AB3C4A" w:rsidRDefault="00AB3C4A">
      <w:pPr>
        <w:rPr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1568"/>
        <w:gridCol w:w="190"/>
        <w:gridCol w:w="8216"/>
      </w:tblGrid>
      <w:tr w:rsidR="00AB3C4A" w14:paraId="1FF3E680" w14:textId="77777777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73916380" w14:textId="77777777" w:rsidR="00AB3C4A" w:rsidRDefault="002D3DA6">
            <w:pPr>
              <w:spacing w:before="40"/>
              <w:jc w:val="center"/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2BA30D6D" w14:textId="77777777" w:rsidR="00AB3C4A" w:rsidRDefault="00AB3C4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2946E60A" w14:textId="77777777" w:rsidR="00AB3C4A" w:rsidRDefault="002D3DA6">
            <w:pPr>
              <w:spacing w:before="40"/>
              <w:rPr>
                <w:b/>
                <w:bCs/>
                <w:color w:val="FF0000"/>
                <w:spacing w:val="20"/>
                <w:sz w:val="2"/>
                <w:szCs w:val="2"/>
              </w:rPr>
            </w:pPr>
            <w:r>
              <w:rPr>
                <w:b/>
                <w:bCs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AB3C4A" w14:paraId="060B07C4" w14:textId="77777777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6ADE804F" w14:textId="77777777" w:rsidR="00AB3C4A" w:rsidRDefault="002D3DA6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MUSC65</w:t>
            </w:r>
          </w:p>
        </w:tc>
        <w:tc>
          <w:tcPr>
            <w:tcW w:w="1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74ED3F4C" w14:textId="77777777" w:rsidR="00AB3C4A" w:rsidRDefault="00AB3C4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4CA23654" w14:textId="77777777" w:rsidR="00AB3C4A" w:rsidRDefault="002D3DA6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FUNDAMENTOS DA EDUCAÇÃO MUSICAL II</w:t>
            </w:r>
          </w:p>
        </w:tc>
      </w:tr>
    </w:tbl>
    <w:p w14:paraId="7035961C" w14:textId="77777777" w:rsidR="00AB3C4A" w:rsidRDefault="00AB3C4A">
      <w:pPr>
        <w:rPr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4"/>
        <w:gridCol w:w="720"/>
        <w:gridCol w:w="190"/>
        <w:gridCol w:w="615"/>
        <w:gridCol w:w="629"/>
        <w:gridCol w:w="699"/>
        <w:gridCol w:w="281"/>
        <w:gridCol w:w="2763"/>
        <w:gridCol w:w="190"/>
        <w:gridCol w:w="1930"/>
      </w:tblGrid>
      <w:tr w:rsidR="00AB3C4A" w14:paraId="5B498914" w14:textId="777777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2CC9AF2" w14:textId="77777777" w:rsidR="00AB3C4A" w:rsidRDefault="002D3DA6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0E61099D" w14:textId="77777777" w:rsidR="00AB3C4A" w:rsidRDefault="00AB3C4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BBA7B64" w14:textId="77777777" w:rsidR="00AB3C4A" w:rsidRDefault="002D3DA6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C1C7D5F" w14:textId="77777777" w:rsidR="00AB3C4A" w:rsidRDefault="00AB3C4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C02A1BE" w14:textId="77777777" w:rsidR="00AB3C4A" w:rsidRDefault="002D3DA6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3C03D628" w14:textId="77777777" w:rsidR="00AB3C4A" w:rsidRDefault="00AB3C4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A3B982A" w14:textId="77777777" w:rsidR="00AB3C4A" w:rsidRDefault="002D3DA6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B3C4A" w14:paraId="725FFEA3" w14:textId="77777777">
        <w:trPr>
          <w:cantSplit/>
          <w:trHeight w:val="243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F1CADFE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A4BA80F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37B4FE5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CB4D530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06379D6" w14:textId="77777777" w:rsidR="00AB3C4A" w:rsidRDefault="00AB3C4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345FA0F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E96D9E8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C326590" w14:textId="77777777" w:rsidR="00AB3C4A" w:rsidRDefault="002D3DA6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46EF557" w14:textId="77777777" w:rsidR="00AB3C4A" w:rsidRDefault="00AB3C4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FC6F501" w14:textId="77777777" w:rsidR="00AB3C4A" w:rsidRDefault="002D3DA6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EB1FE81" w14:textId="77777777" w:rsidR="00AB3C4A" w:rsidRDefault="00AB3C4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D7D7E38" w14:textId="77777777" w:rsidR="00AB3C4A" w:rsidRDefault="002D3DA6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2016.1</w:t>
            </w:r>
          </w:p>
        </w:tc>
      </w:tr>
      <w:tr w:rsidR="00AB3C4A" w14:paraId="46DB7411" w14:textId="77777777">
        <w:trPr>
          <w:trHeight w:val="621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7B89A50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004ECDE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7FFD983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D4860C4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CB50171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67051567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91309F4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A71A0F1" w14:textId="77777777" w:rsidR="00AB3C4A" w:rsidRDefault="002D3DA6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4382C71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A0DE4A9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209F9BD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03BEB968" w14:textId="77777777" w:rsidR="00AB3C4A" w:rsidRDefault="00AB3C4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6C008D3C" w14:textId="77777777" w:rsidR="00AB3C4A" w:rsidRDefault="00AB3C4A">
      <w:pPr>
        <w:rPr>
          <w:sz w:val="2"/>
          <w:szCs w:val="2"/>
        </w:rPr>
      </w:pPr>
    </w:p>
    <w:p w14:paraId="6C372790" w14:textId="77777777" w:rsidR="00AB3C4A" w:rsidRDefault="00AB3C4A">
      <w:pPr>
        <w:rPr>
          <w:sz w:val="2"/>
          <w:szCs w:val="2"/>
        </w:rPr>
      </w:pPr>
    </w:p>
    <w:p w14:paraId="1AF5A764" w14:textId="77777777" w:rsidR="00AB3C4A" w:rsidRDefault="00AB3C4A">
      <w:pPr>
        <w:rPr>
          <w:sz w:val="2"/>
          <w:szCs w:val="2"/>
        </w:rPr>
      </w:pPr>
    </w:p>
    <w:p w14:paraId="5D236657" w14:textId="77777777" w:rsidR="00AB3C4A" w:rsidRDefault="00AB3C4A"/>
    <w:p w14:paraId="321A0E98" w14:textId="77777777" w:rsidR="00AB3C4A" w:rsidRDefault="002D3DA6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Ementa</w:t>
      </w:r>
    </w:p>
    <w:p w14:paraId="2CAEA1C8" w14:textId="77777777" w:rsidR="00AB3C4A" w:rsidRDefault="002D3DA6">
      <w:pPr>
        <w:snapToGrid w:val="0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Nível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conceitos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objetivos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área;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diversidade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cultural;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Legislação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Brasileira;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História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Brasil;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contemporaneidade;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panorama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filosófico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psicológico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Observações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críticas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campo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âmbito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ensino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fundamental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público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privado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música.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Relação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entre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literatura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prática.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Programa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ensino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planos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aula.</w:t>
      </w: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Avaliação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música.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Continuação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MUSC64 </w:t>
      </w:r>
      <w:r>
        <w:rPr>
          <w:rFonts w:ascii="Arial" w:hAnsi="Arial" w:cs="Arial"/>
          <w:sz w:val="22"/>
          <w:szCs w:val="22"/>
        </w:rPr>
        <w:t>Fundamentos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</w:t>
      </w:r>
      <w:r>
        <w:rPr>
          <w:rFonts w:ascii="Arial" w:hAnsi="Arial" w:cs="Arial"/>
          <w:sz w:val="22"/>
          <w:szCs w:val="22"/>
        </w:rPr>
        <w:t>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Musical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1.</w:t>
      </w:r>
    </w:p>
    <w:p w14:paraId="428130DA" w14:textId="77777777" w:rsidR="00AB3C4A" w:rsidRDefault="002D3DA6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Objetivos</w:t>
      </w:r>
    </w:p>
    <w:p w14:paraId="713BE1B3" w14:textId="77777777" w:rsidR="00AB3C4A" w:rsidRDefault="00AB3C4A">
      <w:pPr>
        <w:rPr>
          <w:rFonts w:ascii="Arial" w:eastAsia="Arial" w:hAnsi="Arial" w:cs="Arial"/>
          <w:sz w:val="22"/>
          <w:szCs w:val="22"/>
        </w:rPr>
      </w:pPr>
    </w:p>
    <w:p w14:paraId="214E8D4F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Conhecer,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analisar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discutir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legislações (leis,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diretrizes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parâmetros)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referentes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ensino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arte/música</w:t>
      </w:r>
    </w:p>
    <w:p w14:paraId="5D8FDE26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Saber organizar e planejar atividades musicais, cursos e programas </w:t>
      </w:r>
      <w:r>
        <w:rPr>
          <w:rFonts w:ascii="Arial" w:eastAsia="Arial" w:hAnsi="Arial" w:cs="Arial"/>
          <w:color w:val="000000"/>
          <w:sz w:val="22"/>
          <w:szCs w:val="22"/>
        </w:rPr>
        <w:t>de disciplina</w:t>
      </w:r>
    </w:p>
    <w:p w14:paraId="734A3876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Conscientizar-se da importância de conteúdos conceituais, procedimentais e atitudinais em educação musical</w:t>
      </w:r>
    </w:p>
    <w:p w14:paraId="0164ECD9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rFonts w:ascii="Utopia;Arial Unicode MS" w:hAnsi="Utopia;Arial Unicode MS" w:cs="Utopia;Arial Unicode MS"/>
          <w:sz w:val="22"/>
          <w:szCs w:val="22"/>
        </w:rPr>
      </w:pPr>
      <w:r>
        <w:rPr>
          <w:rFonts w:ascii="Utopia;Arial Unicode MS" w:hAnsi="Utopia;Arial Unicode MS" w:cs="Utopia;Arial Unicode MS"/>
          <w:sz w:val="22"/>
          <w:szCs w:val="22"/>
        </w:rPr>
        <w:t>Conhecer e analisar métodos, teorias e abordagens de educação musical.</w:t>
      </w:r>
    </w:p>
    <w:p w14:paraId="17DEFC8D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rFonts w:ascii="Utopia;Arial Unicode MS" w:hAnsi="Utopia;Arial Unicode MS" w:cs="Utopia;Arial Unicode MS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Conhecer e analisar correntes pedagógico-musicais dos séculos XX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 XXI</w:t>
      </w:r>
    </w:p>
    <w:p w14:paraId="608B7E25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Conhecer os fundamentos da educação musical inclusiva</w:t>
      </w:r>
    </w:p>
    <w:p w14:paraId="62733D60" w14:textId="77777777" w:rsidR="00AB3C4A" w:rsidRDefault="002D3DA6">
      <w:pPr>
        <w:numPr>
          <w:ilvl w:val="0"/>
          <w:numId w:val="1"/>
        </w:numPr>
        <w:tabs>
          <w:tab w:val="left" w:pos="723"/>
        </w:tabs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Conhecer os pressupostos teóricos e dominar técnicas de avaliação em educação musical</w:t>
      </w:r>
    </w:p>
    <w:p w14:paraId="7A066BA1" w14:textId="77777777" w:rsidR="00AB3C4A" w:rsidRDefault="002D3DA6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Conteúdos</w:t>
      </w:r>
    </w:p>
    <w:p w14:paraId="635C04EF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 xml:space="preserve">Legislações vigentes referente à Educação Musical: LDB (Lei 13.278/16; Lei 11.769/08), PCN e RCN, </w:t>
      </w:r>
      <w:r>
        <w:rPr>
          <w:rFonts w:ascii="ArialMT" w:eastAsia="Arial" w:hAnsi="ArialMT" w:cs="Arial"/>
          <w:color w:val="1A1A1A"/>
          <w:sz w:val="26"/>
          <w:szCs w:val="22"/>
          <w:highlight w:val="white"/>
        </w:rPr>
        <w:t>L</w:t>
      </w:r>
      <w:r>
        <w:rPr>
          <w:rFonts w:ascii="ArialMT" w:eastAsia="Arial" w:hAnsi="ArialMT" w:cs="Arial"/>
          <w:color w:val="1A1A1A"/>
          <w:sz w:val="26"/>
          <w:szCs w:val="22"/>
          <w:highlight w:val="white"/>
        </w:rPr>
        <w:t>ei 11769/08 e a 13.278/16</w:t>
      </w:r>
    </w:p>
    <w:p w14:paraId="5C3631FE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Legislações referente à Educação Especial: PNEE, Carta de Salamanca, e outros documentos relativos à Educação Musical</w:t>
      </w:r>
    </w:p>
    <w:p w14:paraId="2628D011" w14:textId="77777777" w:rsidR="00AB3C4A" w:rsidRDefault="002D3DA6">
      <w:pPr>
        <w:numPr>
          <w:ilvl w:val="0"/>
          <w:numId w:val="2"/>
        </w:numPr>
        <w:tabs>
          <w:tab w:val="left" w:pos="27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Introdução ao estudo dos métodos, teorias e abordagens de Educação Musical: Suzuki, Willems, Dalcroze, Kodály, O</w:t>
      </w:r>
      <w:r>
        <w:rPr>
          <w:rFonts w:ascii="Arial" w:hAnsi="Arial"/>
          <w:sz w:val="22"/>
          <w:szCs w:val="22"/>
        </w:rPr>
        <w:t xml:space="preserve">rff, Schafer, Paynter e Swanwick </w:t>
      </w:r>
    </w:p>
    <w:p w14:paraId="06C2DA25" w14:textId="77777777" w:rsidR="00AB3C4A" w:rsidRDefault="002D3DA6">
      <w:pPr>
        <w:numPr>
          <w:ilvl w:val="0"/>
          <w:numId w:val="2"/>
        </w:numPr>
        <w:tabs>
          <w:tab w:val="left" w:pos="270"/>
        </w:tabs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Correntes pedagógicas do século XX e XXI: Cotidiano (Jusamara Souza), PONTES (Alda Oliveira) MAaV e CDG (Helena Nunes), O passo (Lucas Ciavatta), Apreciação Musical Expresisva (Zuraida Abud)</w:t>
      </w:r>
    </w:p>
    <w:p w14:paraId="7C37793B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 xml:space="preserve">Educação Musical inclusiva </w:t>
      </w:r>
    </w:p>
    <w:p w14:paraId="7732CAAF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lastRenderedPageBreak/>
        <w:t>Int</w:t>
      </w: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rodução à Planejamento Pedagógico: planos de aula e plano de curso/disciplina.</w:t>
      </w:r>
    </w:p>
    <w:p w14:paraId="72969E52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Conteúdos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conceituais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– “</w:t>
      </w:r>
      <w:r>
        <w:rPr>
          <w:rFonts w:ascii="Arial" w:hAnsi="Arial" w:cs="Arial"/>
          <w:i/>
          <w:iCs/>
          <w:sz w:val="22"/>
          <w:szCs w:val="22"/>
          <w:shd w:val="clear" w:color="auto" w:fill="FFFFFF"/>
        </w:rPr>
        <w:t>saber</w:t>
      </w:r>
      <w:r>
        <w:rPr>
          <w:rFonts w:ascii="Arial" w:eastAsia="Arial" w:hAnsi="Arial" w:cs="Arial"/>
          <w:i/>
          <w:iCs/>
          <w:sz w:val="22"/>
          <w:szCs w:val="22"/>
          <w:shd w:val="clear" w:color="auto" w:fill="FFFFFF"/>
        </w:rPr>
        <w:t xml:space="preserve">” </w:t>
      </w:r>
      <w:r>
        <w:rPr>
          <w:rFonts w:ascii="Arial" w:hAnsi="Arial" w:cs="Arial"/>
          <w:sz w:val="22"/>
          <w:szCs w:val="22"/>
          <w:shd w:val="clear" w:color="auto" w:fill="FFFFFF"/>
        </w:rPr>
        <w:t>(fatos,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conceitos,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saberes,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informações,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etc.),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conteúdos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procedimentais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ab/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>– “</w:t>
      </w:r>
      <w:r>
        <w:rPr>
          <w:rFonts w:ascii="Arial" w:hAnsi="Arial" w:cs="Arial"/>
          <w:i/>
          <w:iCs/>
          <w:sz w:val="22"/>
          <w:szCs w:val="22"/>
          <w:shd w:val="clear" w:color="auto" w:fill="FFFFFF"/>
        </w:rPr>
        <w:t>saber</w:t>
      </w:r>
      <w:r>
        <w:rPr>
          <w:rFonts w:ascii="Arial" w:eastAsia="Arial" w:hAnsi="Arial" w:cs="Arial"/>
          <w:i/>
          <w:iCs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sz w:val="22"/>
          <w:szCs w:val="22"/>
          <w:shd w:val="clear" w:color="auto" w:fill="FFFFFF"/>
        </w:rPr>
        <w:t>fazer</w:t>
      </w:r>
      <w:r>
        <w:rPr>
          <w:rFonts w:ascii="Arial" w:eastAsia="Arial" w:hAnsi="Arial" w:cs="Arial"/>
          <w:i/>
          <w:iCs/>
          <w:sz w:val="22"/>
          <w:szCs w:val="22"/>
          <w:shd w:val="clear" w:color="auto" w:fill="FFFFFF"/>
        </w:rPr>
        <w:t xml:space="preserve">” </w:t>
      </w:r>
      <w:r>
        <w:rPr>
          <w:rFonts w:ascii="Arial" w:hAnsi="Arial" w:cs="Arial"/>
          <w:sz w:val="22"/>
          <w:szCs w:val="22"/>
          <w:shd w:val="clear" w:color="auto" w:fill="FFFFFF"/>
        </w:rPr>
        <w:t>(competências,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procedimentos,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capacidades,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habilidades)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e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conteúdos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atitudinais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– “</w:t>
      </w:r>
      <w:r>
        <w:rPr>
          <w:rFonts w:ascii="Arial" w:hAnsi="Arial" w:cs="Arial"/>
          <w:i/>
          <w:iCs/>
          <w:sz w:val="22"/>
          <w:szCs w:val="22"/>
          <w:shd w:val="clear" w:color="auto" w:fill="FFFFFF"/>
        </w:rPr>
        <w:t>saber/saber/ser</w:t>
      </w:r>
      <w:r>
        <w:rPr>
          <w:rFonts w:ascii="Arial" w:eastAsia="Arial" w:hAnsi="Arial" w:cs="Arial"/>
          <w:i/>
          <w:iCs/>
          <w:sz w:val="22"/>
          <w:szCs w:val="22"/>
          <w:shd w:val="clear" w:color="auto" w:fill="FFFFFF"/>
        </w:rPr>
        <w:t xml:space="preserve">” </w:t>
      </w:r>
      <w:r>
        <w:rPr>
          <w:rFonts w:ascii="Arial" w:hAnsi="Arial" w:cs="Arial"/>
          <w:sz w:val="22"/>
          <w:szCs w:val="22"/>
          <w:shd w:val="clear" w:color="auto" w:fill="FFFFFF"/>
        </w:rPr>
        <w:t>(envolvimento,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interesses,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postura,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atitudes,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valores,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  <w:shd w:val="clear" w:color="auto" w:fill="FFFFFF"/>
        </w:rPr>
        <w:t>etc.)</w:t>
      </w:r>
    </w:p>
    <w:p w14:paraId="1744AEA5" w14:textId="77777777" w:rsidR="00AB3C4A" w:rsidRDefault="002D3DA6">
      <w:pPr>
        <w:numPr>
          <w:ilvl w:val="0"/>
          <w:numId w:val="2"/>
        </w:numPr>
        <w:tabs>
          <w:tab w:val="left" w:pos="270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Conceitos e fundamentação da avaliação em Educação Musical: diagnóstica, processual e somativa</w:t>
      </w:r>
    </w:p>
    <w:p w14:paraId="40ECB759" w14:textId="77777777" w:rsidR="00AB3C4A" w:rsidRDefault="002D3DA6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Metodologia</w:t>
      </w:r>
    </w:p>
    <w:p w14:paraId="5442AF24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linhas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norteadoras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construtivismo,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sócio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interacionismo (</w:t>
      </w:r>
      <w:r>
        <w:rPr>
          <w:rFonts w:ascii="Arial" w:hAnsi="Arial" w:cs="Arial"/>
          <w:color w:val="353535"/>
          <w:sz w:val="22"/>
          <w:szCs w:val="22"/>
        </w:rPr>
        <w:t xml:space="preserve">Vygotsky) </w:t>
      </w:r>
      <w:r>
        <w:rPr>
          <w:rFonts w:ascii="Arial" w:hAnsi="Arial" w:cs="Arial"/>
          <w:sz w:val="22"/>
          <w:szCs w:val="22"/>
        </w:rPr>
        <w:t>e a pedagogia crítica (Saviani)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contemplando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saberes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educados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interação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coletiva. </w:t>
      </w:r>
      <w:r>
        <w:rPr>
          <w:rFonts w:ascii="Arial" w:hAnsi="Arial" w:cs="Arial"/>
          <w:color w:val="353535"/>
          <w:sz w:val="22"/>
          <w:szCs w:val="22"/>
        </w:rPr>
        <w:t>Essas abordagens prop</w:t>
      </w:r>
      <w:r>
        <w:rPr>
          <w:rFonts w:ascii="Arial" w:hAnsi="Arial"/>
          <w:color w:val="353535"/>
          <w:sz w:val="22"/>
          <w:szCs w:val="22"/>
        </w:rPr>
        <w:t>õem uma situação de ensino/aprendizagem que tem como ponto de par</w:t>
      </w:r>
      <w:r>
        <w:rPr>
          <w:rFonts w:ascii="Arial" w:hAnsi="Arial"/>
          <w:color w:val="353535"/>
          <w:sz w:val="22"/>
          <w:szCs w:val="22"/>
        </w:rPr>
        <w:t>tida o conhecimento da realidade educando. Em seguida a problematização do conteúdo instiga, estimula e desafia os alunos a discutir a realidade. Elas também valorizam a aprendizagem por meio da interação com o outro (</w:t>
      </w:r>
      <w:r>
        <w:rPr>
          <w:rFonts w:ascii="Arial" w:hAnsi="Arial"/>
          <w:i/>
          <w:iCs/>
          <w:color w:val="353535"/>
          <w:sz w:val="22"/>
          <w:szCs w:val="22"/>
        </w:rPr>
        <w:t>peer-learning)</w:t>
      </w:r>
      <w:r>
        <w:rPr>
          <w:rFonts w:ascii="Arial" w:hAnsi="Arial"/>
          <w:color w:val="353535"/>
          <w:sz w:val="22"/>
          <w:szCs w:val="22"/>
        </w:rPr>
        <w:t xml:space="preserve">. O ponto de </w:t>
      </w:r>
      <w:r>
        <w:rPr>
          <w:rFonts w:ascii="Arial" w:hAnsi="Arial"/>
          <w:color w:val="353535"/>
          <w:sz w:val="22"/>
          <w:szCs w:val="22"/>
        </w:rPr>
        <w:t>convergência é a visão do contexto social enquanto o lugar onde se dá a construção do conhecimento mediado (o lócus de aprendizagem) na perspectiva de uma transformação social.</w:t>
      </w:r>
    </w:p>
    <w:p w14:paraId="1D45E1CE" w14:textId="77777777" w:rsidR="00AB3C4A" w:rsidRDefault="00AB3C4A">
      <w:pPr>
        <w:jc w:val="both"/>
        <w:rPr>
          <w:rFonts w:cs="Arial"/>
        </w:rPr>
      </w:pPr>
    </w:p>
    <w:p w14:paraId="1CF45AA1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Serão aplicadas as seguintes técnicas: seminários, palestras, pesquisa de camp</w:t>
      </w:r>
      <w:r>
        <w:rPr>
          <w:rFonts w:ascii="Arial" w:eastAsia="Arial" w:hAnsi="Arial" w:cs="Arial"/>
          <w:sz w:val="22"/>
          <w:szCs w:val="22"/>
        </w:rPr>
        <w:t xml:space="preserve">o, aulas, expositivas, pesquisa bibliográfica, leitura e discussão de textos, produção de resenhas e artigos, elaboração de memorial, exibição de filmes e vídeos, visitas técnicas, palestras, atividades práticas, elaboração de materiais didáticos. </w:t>
      </w:r>
    </w:p>
    <w:p w14:paraId="65458E34" w14:textId="77777777" w:rsidR="00AB3C4A" w:rsidRDefault="002D3DA6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Avaliaç</w:t>
      </w:r>
      <w:r>
        <w:rPr>
          <w:rFonts w:ascii="Arial" w:hAnsi="Arial"/>
          <w:sz w:val="22"/>
          <w:szCs w:val="22"/>
        </w:rPr>
        <w:t>ão</w:t>
      </w:r>
    </w:p>
    <w:p w14:paraId="386D582D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99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trabalhos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aprendizagem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 obrigatórios,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conferindo-se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zero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(0)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fizer.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14:paraId="55DC96C8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103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considerado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inabilitado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reprovado,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alternativa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cumulativamente: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A9147BB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deixar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cumprir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freqüência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mínima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setenta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cento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(75%)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atividades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ficando,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conseqüentemente,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subseqüentes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faltado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25%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carga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horária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curricular;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27998F2" w14:textId="77777777" w:rsidR="00AB3C4A" w:rsidRDefault="002D3DA6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obtiver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igual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superior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(5),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aproximação,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resultante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média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exame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DED1E62" w14:textId="77777777" w:rsidR="00AB3C4A" w:rsidRDefault="002D3DA6">
      <w:pPr>
        <w:jc w:val="right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(REG,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20.10.2009,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pg.19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20)</w:t>
      </w:r>
    </w:p>
    <w:p w14:paraId="5CB35E5C" w14:textId="77777777" w:rsidR="00AB3C4A" w:rsidRDefault="002D3DA6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Bibliografia</w:t>
      </w:r>
    </w:p>
    <w:p w14:paraId="6837C836" w14:textId="77777777" w:rsidR="00AB3C4A" w:rsidRDefault="002D3DA6">
      <w:pPr>
        <w:spacing w:after="200" w:line="100" w:lineRule="atLeast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BASTIÃO, Zuraida Abud. </w:t>
      </w:r>
      <w:r>
        <w:rPr>
          <w:rFonts w:ascii="Arial" w:eastAsia="Arial" w:hAnsi="Arial" w:cs="Arial"/>
          <w:b/>
          <w:bCs/>
          <w:i/>
          <w:iCs/>
          <w:sz w:val="22"/>
          <w:szCs w:val="22"/>
        </w:rPr>
        <w:t>A abordagem AME — Apreciação Musical Expressiva</w:t>
      </w:r>
      <w:r>
        <w:rPr>
          <w:rFonts w:ascii="Arial" w:eastAsia="Arial" w:hAnsi="Arial" w:cs="Arial"/>
          <w:sz w:val="22"/>
          <w:szCs w:val="22"/>
        </w:rPr>
        <w:t>. Salvador: EDUFBA, 2015.</w:t>
      </w:r>
    </w:p>
    <w:p w14:paraId="3F08A2D3" w14:textId="77777777" w:rsidR="00AB3C4A" w:rsidRDefault="002D3DA6">
      <w:pPr>
        <w:spacing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BRASIL.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Civil.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4.024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dezembro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1961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Fixa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Diretrizes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Bases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Nacional.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Diário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Oficial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[da]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República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Federativa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Brasil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11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ago.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1971.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Disponível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em:&lt;http://www.planalto.gov.br/CCIVIL/LEIS/L4024.htm&gt;.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Acesso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</w:p>
    <w:p w14:paraId="495B3F03" w14:textId="77777777" w:rsidR="00AB3C4A" w:rsidRDefault="002D3DA6">
      <w:pPr>
        <w:spacing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5.692,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11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agosto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1971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Fixa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Diretrizes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Bases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2o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graus,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outras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providências.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Diário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Oficial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[da]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República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Federativa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Brasil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11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ago.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1971.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Disponível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&lt;http://www.planalto.gov.br/CCIVIL/LEIS/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L5692.htm.&gt;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Acesso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</w:p>
    <w:p w14:paraId="4C8D1F12" w14:textId="77777777" w:rsidR="00AB3C4A" w:rsidRDefault="002D3DA6">
      <w:pPr>
        <w:spacing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9.394,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dezembro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1996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Estabelece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Diretrizes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Bases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Nacional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Diário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Oficial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[da]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República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Federativa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Brasil,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dez.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1996.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Disponível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&lt;http://www.planalto.gov.br/ccivil_03/LEIS/l9394.htm&gt;.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Acesso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</w:p>
    <w:p w14:paraId="5CEDCC3B" w14:textId="77777777" w:rsidR="00AB3C4A" w:rsidRDefault="002D3DA6">
      <w:pPr>
        <w:spacing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BRASIL,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Ministério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Cultura.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Secretaria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Fundamental.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Parâmetros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Curriculares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Nacionais: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ntrodução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parâmetros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nacionais</w:t>
      </w:r>
      <w:r>
        <w:rPr>
          <w:rFonts w:ascii="Arial" w:hAnsi="Arial" w:cs="Arial"/>
          <w:i/>
          <w:iCs/>
          <w:sz w:val="22"/>
          <w:szCs w:val="22"/>
        </w:rPr>
        <w:t>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MEC/SEF,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1997.</w:t>
      </w:r>
    </w:p>
    <w:p w14:paraId="29C0D358" w14:textId="77777777" w:rsidR="00AB3C4A" w:rsidRDefault="002D3DA6">
      <w:pPr>
        <w:spacing w:after="200" w:line="276" w:lineRule="au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Parâmetros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Curriculares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Nacionais: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Arte.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MEC/SEF,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1997.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p.102.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5789DA0" w14:textId="77777777" w:rsidR="00AB3C4A" w:rsidRDefault="002D3DA6">
      <w:pPr>
        <w:spacing w:before="200" w:after="200" w:line="276" w:lineRule="au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BRASIL,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Ministério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Cultura.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Lei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11.769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18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agosto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Altera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9.394,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dezembro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1996,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Diretrizes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Bases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dispor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sobre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obrigatoriedade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ensino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música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básica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Diário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Oficial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[da]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República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Federativa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do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Brasil,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DF,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18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ago.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Disponível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&lt;http://www.planalto.gov.br/ccivil_03/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_Ato2007-2010/2008/Lei/L11769.htm&gt;.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Acesso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2008.</w:t>
      </w:r>
    </w:p>
    <w:p w14:paraId="5F43E7FA" w14:textId="77777777" w:rsidR="00AB3C4A" w:rsidRDefault="002D3DA6">
      <w:pPr>
        <w:spacing w:before="200" w:after="200" w:line="276" w:lineRule="au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BRASIL, Ministério da </w:t>
      </w:r>
      <w:r>
        <w:rPr>
          <w:rFonts w:ascii="Arial" w:hAnsi="Arial" w:cs="Arial"/>
          <w:sz w:val="22"/>
          <w:szCs w:val="22"/>
        </w:rPr>
        <w:t>Educação e Cultura.</w:t>
      </w:r>
      <w:r>
        <w:rPr>
          <w:rFonts w:ascii="Arial" w:hAnsi="Arial" w:cs="Arial"/>
          <w:b/>
          <w:bCs/>
          <w:sz w:val="22"/>
          <w:szCs w:val="22"/>
        </w:rPr>
        <w:t xml:space="preserve"> Lei 11.769</w:t>
      </w:r>
      <w:r>
        <w:rPr>
          <w:rFonts w:ascii="Arial" w:hAnsi="Arial" w:cs="Arial"/>
          <w:sz w:val="22"/>
          <w:szCs w:val="22"/>
        </w:rPr>
        <w:t>, de 18 de agosto de 2008. Altera a Lei no 9.394, de 20 de dezembro de 1996, Lei de Diretrizes e Bases da Educação, para dispor sobre a</w:t>
      </w:r>
      <w:r>
        <w:rPr>
          <w:rFonts w:ascii="Arial" w:hAnsi="Arial" w:cs="Arial"/>
          <w:b/>
          <w:bCs/>
          <w:sz w:val="22"/>
          <w:szCs w:val="22"/>
        </w:rPr>
        <w:t xml:space="preserve"> obrigatoriedade do ensino da música na educação básica</w:t>
      </w:r>
      <w:r>
        <w:rPr>
          <w:rFonts w:ascii="Arial" w:hAnsi="Arial" w:cs="Arial"/>
          <w:sz w:val="22"/>
          <w:szCs w:val="22"/>
        </w:rPr>
        <w:t xml:space="preserve">. Brasília, 2008. </w:t>
      </w:r>
      <w:r>
        <w:rPr>
          <w:rFonts w:ascii="Arial" w:hAnsi="Arial" w:cs="Arial"/>
          <w:i/>
          <w:iCs/>
          <w:sz w:val="22"/>
          <w:szCs w:val="22"/>
        </w:rPr>
        <w:t>Diário Oficial [da</w:t>
      </w:r>
      <w:r>
        <w:rPr>
          <w:rFonts w:ascii="Arial" w:hAnsi="Arial" w:cs="Arial"/>
          <w:i/>
          <w:iCs/>
          <w:sz w:val="22"/>
          <w:szCs w:val="22"/>
        </w:rPr>
        <w:t>] República Federativa do Brasil,</w:t>
      </w:r>
      <w:r>
        <w:rPr>
          <w:rFonts w:ascii="Arial" w:hAnsi="Arial" w:cs="Arial"/>
          <w:sz w:val="22"/>
          <w:szCs w:val="22"/>
        </w:rPr>
        <w:t xml:space="preserve"> Brasília, DF, 18 ago. 2008. Disponível em: &lt;http://www.planalto.gov.br/ccivil_03/ _Ato2007-2010/2008/Lei/L11769.htm&gt;. Acesso em: 14 mai. 2008.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B274E64" w14:textId="77777777" w:rsidR="00AB3C4A" w:rsidRDefault="002D3DA6">
      <w:pPr>
        <w:spacing w:before="200" w:after="200" w:line="276" w:lineRule="auto"/>
      </w:pP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Ver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Legislação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de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Ed.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Especial: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00"/>
        </w:rPr>
        <w:t xml:space="preserve">  </w:t>
      </w:r>
      <w:hyperlink r:id="rId7">
        <w:r>
          <w:rPr>
            <w:rStyle w:val="InternetLink"/>
            <w:rFonts w:ascii="Arial" w:eastAsia="Arial" w:hAnsi="Arial" w:cs="Arial"/>
            <w:sz w:val="22"/>
            <w:szCs w:val="22"/>
          </w:rPr>
          <w:t>http://portal.mec.gov.br/index.php?option=com_content&amp;view=article&amp;id=12907:legislacoes&amp;catid=70:legislacoes</w:t>
        </w:r>
      </w:hyperlink>
    </w:p>
    <w:p w14:paraId="3DF733BC" w14:textId="77777777" w:rsidR="00AB3C4A" w:rsidRDefault="002D3DA6">
      <w:pPr>
        <w:spacing w:before="200" w:line="276" w:lineRule="auto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Secretaria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Especial.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Tendências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desafios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especial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Eunice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Soriano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Alencar.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SEESP,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1994.</w:t>
      </w:r>
    </w:p>
    <w:p w14:paraId="4F88923B" w14:textId="77777777" w:rsidR="00AB3C4A" w:rsidRDefault="002D3DA6">
      <w:pPr>
        <w:pStyle w:val="1-BIBLIOGRAFIA"/>
        <w:spacing w:before="200" w:after="0" w:line="276" w:lineRule="auto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HAYDT, Regina.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Avaliação do processo ensino-aprendizagem. </w:t>
      </w:r>
      <w:r>
        <w:rPr>
          <w:rFonts w:ascii="Arial" w:eastAsia="Arial" w:hAnsi="Arial" w:cs="Arial"/>
          <w:sz w:val="22"/>
          <w:szCs w:val="22"/>
        </w:rPr>
        <w:t>São Paulo: Ática, 2004.</w:t>
      </w:r>
    </w:p>
    <w:p w14:paraId="455EC098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HENTSCHKE,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SOUZA,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J.(org.).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Avaliação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Música: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reflexões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práticas.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Paulo: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Moderna,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2003.</w:t>
      </w:r>
    </w:p>
    <w:p w14:paraId="5F0F54EB" w14:textId="77777777" w:rsidR="00AB3C4A" w:rsidRDefault="002D3DA6">
      <w:pPr>
        <w:spacing w:before="200" w:after="200"/>
      </w:pPr>
      <w:r>
        <w:rPr>
          <w:rFonts w:ascii="Arial" w:eastAsia="Arial" w:hAnsi="Arial" w:cs="Arial"/>
          <w:sz w:val="22"/>
          <w:szCs w:val="22"/>
        </w:rPr>
        <w:t xml:space="preserve">HOFMANN, </w:t>
      </w:r>
      <w:r>
        <w:rPr>
          <w:rStyle w:val="Teletype"/>
          <w:rFonts w:ascii="Arial" w:hAnsi="Arial" w:cs="Arial"/>
          <w:sz w:val="22"/>
          <w:szCs w:val="22"/>
        </w:rPr>
        <w:t>Jussara.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Avaliação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Mediadora: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uma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prática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em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construção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da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pré-escola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à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i/>
          <w:iCs/>
          <w:sz w:val="22"/>
          <w:szCs w:val="22"/>
        </w:rPr>
        <w:t>universidade.</w:t>
      </w:r>
      <w:r>
        <w:rPr>
          <w:rStyle w:val="Teletype"/>
          <w:rFonts w:ascii="Arial" w:eastAsia="Arial" w:hAnsi="Arial" w:cs="Arial"/>
          <w:i/>
          <w:iCs/>
          <w:sz w:val="22"/>
          <w:szCs w:val="22"/>
        </w:rPr>
        <w:t xml:space="preserve"> </w:t>
      </w:r>
      <w:bookmarkStart w:id="0" w:name="search1"/>
      <w:bookmarkStart w:id="1" w:name="main1"/>
      <w:bookmarkEnd w:id="0"/>
      <w:bookmarkEnd w:id="1"/>
      <w:r>
        <w:rPr>
          <w:rStyle w:val="Teletype"/>
          <w:rFonts w:ascii="Arial" w:hAnsi="Arial" w:cs="Arial"/>
          <w:sz w:val="22"/>
          <w:szCs w:val="22"/>
        </w:rPr>
        <w:t>15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ed.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Porto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Alegre: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Mediação,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1991.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p.</w:t>
      </w:r>
      <w:r>
        <w:rPr>
          <w:rStyle w:val="Teletype"/>
          <w:rFonts w:ascii="Arial" w:eastAsia="Arial" w:hAnsi="Arial" w:cs="Arial"/>
          <w:sz w:val="22"/>
          <w:szCs w:val="22"/>
        </w:rPr>
        <w:t xml:space="preserve"> </w:t>
      </w:r>
      <w:r>
        <w:rPr>
          <w:rStyle w:val="Teletype"/>
          <w:rFonts w:ascii="Arial" w:hAnsi="Arial" w:cs="Arial"/>
          <w:sz w:val="22"/>
          <w:szCs w:val="22"/>
        </w:rPr>
        <w:t>112.</w:t>
      </w:r>
      <w:r>
        <w:rPr>
          <w:rFonts w:ascii="Arial" w:hAnsi="Arial" w:cs="Arial"/>
          <w:sz w:val="22"/>
          <w:szCs w:val="22"/>
        </w:rPr>
        <w:tab/>
      </w:r>
    </w:p>
    <w:p w14:paraId="6A39A312" w14:textId="77777777" w:rsidR="00AB3C4A" w:rsidRDefault="002D3DA6">
      <w:pPr>
        <w:pStyle w:val="1-BIBLIOGRAFIA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LUCKESI, Cipriano. </w:t>
      </w:r>
      <w:r>
        <w:rPr>
          <w:rFonts w:ascii="Arial" w:eastAsia="Arial" w:hAnsi="Arial" w:cs="Arial"/>
          <w:i/>
          <w:iCs/>
          <w:sz w:val="22"/>
          <w:szCs w:val="22"/>
        </w:rPr>
        <w:t>Avaliação educacional escolar; para além do autoritarismo.</w:t>
      </w:r>
      <w:r>
        <w:rPr>
          <w:rFonts w:ascii="Arial" w:eastAsia="Arial" w:hAnsi="Arial" w:cs="Arial"/>
          <w:sz w:val="22"/>
          <w:szCs w:val="22"/>
        </w:rPr>
        <w:t xml:space="preserve"> Tecnologia Educacional, Rio de Janeiro, ABT, 13(61): 6-15, nov./dez., 1984.</w:t>
      </w:r>
    </w:p>
    <w:p w14:paraId="4031D25D" w14:textId="77777777" w:rsidR="00AB3C4A" w:rsidRDefault="002D3DA6">
      <w:pPr>
        <w:pStyle w:val="1-BIBLIOGRAFIA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_____________.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Avaliação da aprendizagem escolar. </w:t>
      </w:r>
      <w:r>
        <w:rPr>
          <w:rFonts w:ascii="Arial" w:eastAsia="Arial" w:hAnsi="Arial" w:cs="Arial"/>
          <w:sz w:val="22"/>
          <w:szCs w:val="22"/>
        </w:rPr>
        <w:t xml:space="preserve">18ª ed. São Paulo: Cortez, 2006. </w:t>
      </w:r>
    </w:p>
    <w:p w14:paraId="5260180B" w14:textId="77777777" w:rsidR="00AB3C4A" w:rsidRDefault="002D3DA6">
      <w:pPr>
        <w:pStyle w:val="1-BIBLIOGRAFIA"/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_____________. Prática Educativa: processo versus produto  </w:t>
      </w:r>
      <w:r>
        <w:rPr>
          <w:rFonts w:ascii="Arial" w:eastAsia="Arial" w:hAnsi="Arial" w:cs="Arial"/>
          <w:i/>
          <w:iCs/>
          <w:sz w:val="22"/>
          <w:szCs w:val="22"/>
        </w:rPr>
        <w:t>Revista ABC EDUCATIO</w:t>
      </w:r>
      <w:r>
        <w:rPr>
          <w:rFonts w:ascii="Arial" w:eastAsia="Arial" w:hAnsi="Arial" w:cs="Arial"/>
          <w:sz w:val="22"/>
          <w:szCs w:val="22"/>
        </w:rPr>
        <w:t>, no 52, dez/200</w:t>
      </w:r>
      <w:r>
        <w:rPr>
          <w:rFonts w:ascii="Arial" w:eastAsia="Arial" w:hAnsi="Arial" w:cs="Arial"/>
          <w:sz w:val="22"/>
          <w:szCs w:val="22"/>
        </w:rPr>
        <w:t>5-jan/2006</w:t>
      </w:r>
    </w:p>
    <w:p w14:paraId="4B874B2B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;sans-serif"/>
          <w:color w:val="222222"/>
          <w:sz w:val="22"/>
          <w:szCs w:val="22"/>
        </w:rPr>
        <w:t xml:space="preserve">MATEIRO, T.; ILARI, B. (Orgs.). </w:t>
      </w:r>
      <w:r>
        <w:rPr>
          <w:rFonts w:ascii="Arial" w:hAnsi="Arial" w:cs="arial;sans-serif"/>
          <w:b/>
          <w:bCs/>
          <w:color w:val="222222"/>
          <w:sz w:val="22"/>
          <w:szCs w:val="22"/>
        </w:rPr>
        <w:t xml:space="preserve">Pedagogias em Educação Musical. </w:t>
      </w:r>
      <w:r>
        <w:rPr>
          <w:rFonts w:ascii="Arial" w:hAnsi="Arial" w:cs="arial;sans-serif"/>
          <w:color w:val="222222"/>
          <w:sz w:val="22"/>
          <w:szCs w:val="22"/>
        </w:rPr>
        <w:t>Curitiba: IBPEX, 2011.</w:t>
      </w:r>
    </w:p>
    <w:p w14:paraId="205B7D0D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MATTEIRO,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T.;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ILARI,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(Orgs.).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Pedagogias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Musical.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Curitiba: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Ibpex,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2011.</w:t>
      </w:r>
    </w:p>
    <w:p w14:paraId="70D919B0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MAZZOTTA,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Marcos.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Especial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Brasil: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história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políticas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públicas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Paulo: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Cortez,1996.</w:t>
      </w:r>
    </w:p>
    <w:p w14:paraId="53BB5718" w14:textId="77777777" w:rsidR="00AB3C4A" w:rsidRDefault="002D3DA6">
      <w:pPr>
        <w:pStyle w:val="1-BIBLIOGRAFIA"/>
        <w:spacing w:before="200" w:after="200"/>
        <w:ind w:left="0" w:firstLine="0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OLIVEIRA, Alda. 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t>A Abordagem Pontes para a Educação Musical: aprendendo a articular.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Jundiaí: Paco Editorial, 2015.</w:t>
      </w:r>
    </w:p>
    <w:p w14:paraId="55090BC2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PAZ,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Ermelinda.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Pedagogia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Musical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Brasileira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Século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XX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Metodologias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Tendências.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Brasília: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Musimed,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2000.</w:t>
      </w:r>
      <w:r>
        <w:rPr>
          <w:rFonts w:ascii="Arial" w:hAnsi="Arial" w:cs="Arial"/>
          <w:sz w:val="22"/>
          <w:szCs w:val="22"/>
        </w:rPr>
        <w:tab/>
      </w:r>
    </w:p>
    <w:p w14:paraId="5714FBB9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PENNA,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M.;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PEREGRINO,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Y.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Ensino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Queremos: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construção,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conclusão.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É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Este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Ensino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Artes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que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Queremos?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Análise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Propostas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Parâmetros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Nacionais.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Penna,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(COORD.).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Pessoa: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CCHLA.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PPGE,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163-170,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2001.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B09D7C6" w14:textId="77777777" w:rsidR="00AB3C4A" w:rsidRDefault="002D3DA6">
      <w:pPr>
        <w:pStyle w:val="1-BIBLIOGRAFIA"/>
        <w:spacing w:before="200" w:after="200"/>
        <w:ind w:left="15" w:firstLine="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SSHAFER, R. M. </w:t>
      </w:r>
      <w:r>
        <w:rPr>
          <w:rFonts w:ascii="Arial" w:hAnsi="Arial" w:cs="Arial"/>
          <w:b/>
          <w:bCs/>
          <w:sz w:val="22"/>
          <w:szCs w:val="22"/>
        </w:rPr>
        <w:t>A Afinação do Mundo.</w:t>
      </w:r>
      <w:r>
        <w:rPr>
          <w:rFonts w:ascii="Arial" w:hAnsi="Arial" w:cs="Arial"/>
          <w:sz w:val="22"/>
          <w:szCs w:val="22"/>
        </w:rPr>
        <w:t xml:space="preserve"> São Paulo: UNESP, 2001.</w:t>
      </w:r>
    </w:p>
    <w:p w14:paraId="23A7B287" w14:textId="77777777" w:rsidR="00AB3C4A" w:rsidRDefault="002D3DA6">
      <w:pPr>
        <w:pStyle w:val="1-BIBLIOGRAFIA"/>
        <w:spacing w:before="200" w:after="200"/>
        <w:ind w:left="15" w:firstLine="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___________. </w:t>
      </w:r>
      <w:r>
        <w:rPr>
          <w:rFonts w:ascii="Arial" w:hAnsi="Arial" w:cs="Arial"/>
          <w:b/>
          <w:bCs/>
          <w:sz w:val="22"/>
          <w:szCs w:val="22"/>
        </w:rPr>
        <w:t>O Ouvido Pensante</w:t>
      </w:r>
      <w:r>
        <w:rPr>
          <w:rFonts w:ascii="Arial" w:hAnsi="Arial" w:cs="Arial"/>
          <w:sz w:val="22"/>
          <w:szCs w:val="22"/>
        </w:rPr>
        <w:t xml:space="preserve">. Trad. Marisa Fonterrada. São Paulo: Unesp, 1991. </w:t>
      </w:r>
    </w:p>
    <w:p w14:paraId="7378B896" w14:textId="77777777" w:rsidR="00AB3C4A" w:rsidRDefault="002D3DA6">
      <w:pPr>
        <w:pStyle w:val="1-BIBLIOGRAFIA"/>
        <w:spacing w:before="200" w:after="200"/>
        <w:ind w:left="15" w:firstLine="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SCHÖN,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Donald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Educando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profissional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reflexivo: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um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novo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design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para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ensino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aprendizagem.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Tradução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Roberto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Cataldo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Costa.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Alegre: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Médicas,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2000.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94E40A2" w14:textId="77777777" w:rsidR="00AB3C4A" w:rsidRDefault="002D3DA6">
      <w:pPr>
        <w:pStyle w:val="1-BIBLIOGRAFIA"/>
        <w:spacing w:before="200" w:after="200"/>
        <w:ind w:left="15" w:firstLine="0"/>
        <w:rPr>
          <w:rFonts w:ascii="Arial" w:hAnsi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UNESCO. Os IV Pilares da Educação. E</w:t>
      </w:r>
      <w:r>
        <w:rPr>
          <w:rFonts w:ascii="Arial" w:hAnsi="Arial" w:cs="Arial"/>
          <w:sz w:val="22"/>
          <w:szCs w:val="22"/>
        </w:rPr>
        <w:t>ducação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um Tesouro a Descobrir : </w:t>
      </w:r>
      <w:r>
        <w:rPr>
          <w:rFonts w:ascii="Arial" w:eastAsia="Arial" w:hAnsi="Arial" w:cs="Arial"/>
          <w:b/>
          <w:bCs/>
          <w:sz w:val="22"/>
          <w:szCs w:val="22"/>
        </w:rPr>
        <w:t>Relatório para a UNESCO da Comissão Internacional sobre Educação para o século XXI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. </w:t>
      </w:r>
      <w:r>
        <w:rPr>
          <w:rFonts w:ascii="Arial" w:eastAsia="Arial" w:hAnsi="Arial" w:cs="Arial"/>
          <w:sz w:val="22"/>
          <w:szCs w:val="22"/>
        </w:rPr>
        <w:t xml:space="preserve">Tradução de José Carlos </w:t>
      </w:r>
      <w:r>
        <w:rPr>
          <w:rFonts w:ascii="Arial" w:eastAsia="Arial" w:hAnsi="Arial" w:cs="Arial"/>
          <w:sz w:val="22"/>
          <w:szCs w:val="22"/>
        </w:rPr>
        <w:t>Eufrázio . Brasília: Cortez, UNESCO, MEC, 1997. p. 89-101.</w:t>
      </w:r>
    </w:p>
    <w:p w14:paraId="4A1287A7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VASCONCELOS,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Celso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Santos.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Construção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conhecimento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sala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aula.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Paulo: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Libertad,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2004.</w:t>
      </w:r>
    </w:p>
    <w:p w14:paraId="43EAF4CC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Planejamento: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projeto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ensino-aprendizagem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projeto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político-pedagógico.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Paulo: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Libertad,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2005.</w:t>
      </w:r>
    </w:p>
    <w:p w14:paraId="27BE1BDD" w14:textId="77777777" w:rsidR="00AB3C4A" w:rsidRDefault="002D3DA6">
      <w:pPr>
        <w:spacing w:before="200" w:after="2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WILLEMS, Edgard. </w:t>
      </w:r>
      <w:r>
        <w:rPr>
          <w:rFonts w:ascii="Arial" w:hAnsi="Arial"/>
          <w:b/>
          <w:bCs/>
          <w:sz w:val="22"/>
          <w:szCs w:val="22"/>
        </w:rPr>
        <w:t>As bases psicológicas da educação musical.</w:t>
      </w:r>
      <w:r>
        <w:rPr>
          <w:rFonts w:ascii="Arial" w:hAnsi="Arial"/>
          <w:sz w:val="22"/>
          <w:szCs w:val="22"/>
        </w:rPr>
        <w:t xml:space="preserve"> Portugal: Fundação Calouste Gulbenkian, 1970</w:t>
      </w:r>
    </w:p>
    <w:p w14:paraId="433FBA63" w14:textId="77777777" w:rsidR="00AB3C4A" w:rsidRDefault="00AB3C4A">
      <w:pPr>
        <w:rPr>
          <w:rFonts w:ascii="Arial" w:hAnsi="Arial"/>
          <w:sz w:val="22"/>
          <w:szCs w:val="22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11FE6" w:rsidRPr="00C87B0E" w14:paraId="68AFDCD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EDE3E47" w14:textId="77777777" w:rsidR="00B11FE6" w:rsidRPr="00C87B0E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F083396" w14:textId="77777777" w:rsidR="00B11FE6" w:rsidRPr="00C87B0E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11FE6" w:rsidRPr="00C87B0E" w14:paraId="63627F17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3DB79AF7" w14:textId="77777777" w:rsidR="00B11FE6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7C0C96D" w14:textId="77777777" w:rsidR="00B11FE6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9FC3051" w14:textId="77777777" w:rsidR="00B11FE6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AD66578" w14:textId="77777777" w:rsidR="00B11FE6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DFFA8D3" w14:textId="77777777" w:rsidR="00B11FE6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3FC86CA" w14:textId="77777777" w:rsidR="00B11FE6" w:rsidRPr="00C87B0E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9CBA895" w14:textId="77777777" w:rsidR="00B11FE6" w:rsidRPr="00C87B0E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50F349E" w14:textId="77777777" w:rsidR="00B11FE6" w:rsidRPr="00C87B0E" w:rsidRDefault="00B11FE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4B2928F" w14:textId="77777777" w:rsidR="00AB3C4A" w:rsidRDefault="00AB3C4A">
      <w:bookmarkStart w:id="2" w:name="_GoBack"/>
      <w:bookmarkEnd w:id="2"/>
    </w:p>
    <w:sectPr w:rsidR="00AB3C4A" w:rsidSect="002D3DA6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DejaVu Sans Mono">
    <w:altName w:val="Times New Roman"/>
    <w:charset w:val="01"/>
    <w:family w:val="roman"/>
    <w:pitch w:val="variable"/>
  </w:font>
  <w:font w:name="Utopia;Arial Unicode MS">
    <w:altName w:val="Times New Roman"/>
    <w:panose1 w:val="00000000000000000000"/>
    <w:charset w:val="00"/>
    <w:family w:val="roman"/>
    <w:notTrueType/>
    <w:pitch w:val="default"/>
  </w:font>
  <w:font w:name="ArialMT">
    <w:altName w:val="Arial"/>
    <w:charset w:val="01"/>
    <w:family w:val="roman"/>
    <w:pitch w:val="variable"/>
  </w:font>
  <w:font w:name="arial;sans-serif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40B9F"/>
    <w:multiLevelType w:val="multilevel"/>
    <w:tmpl w:val="181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highlight w:val="white"/>
        <w:u w:val="none"/>
        <w:lang w:val="pt-B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highlight w:val="white"/>
        <w:u w:val="none"/>
        <w:lang w:val="pt-B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highlight w:val="white"/>
        <w:u w:val="none"/>
        <w:lang w:val="pt-B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1">
    <w:nsid w:val="2C2244BF"/>
    <w:multiLevelType w:val="multilevel"/>
    <w:tmpl w:val="49A25E3A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lang w:val="pt-BR"/>
      </w:rPr>
    </w:lvl>
    <w:lvl w:ilvl="1">
      <w:start w:val="1"/>
      <w:numFmt w:val="bullet"/>
      <w:lvlText w:val="◦"/>
      <w:lvlJc w:val="left"/>
      <w:pPr>
        <w:tabs>
          <w:tab w:val="num" w:pos="1170"/>
        </w:tabs>
        <w:ind w:left="117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530"/>
        </w:tabs>
        <w:ind w:left="153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lang w:val="pt-BR"/>
      </w:rPr>
    </w:lvl>
    <w:lvl w:ilvl="4">
      <w:start w:val="1"/>
      <w:numFmt w:val="bullet"/>
      <w:lvlText w:val="◦"/>
      <w:lvlJc w:val="left"/>
      <w:pPr>
        <w:tabs>
          <w:tab w:val="num" w:pos="2250"/>
        </w:tabs>
        <w:ind w:left="225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610"/>
        </w:tabs>
        <w:ind w:left="261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lang w:val="pt-BR"/>
      </w:rPr>
    </w:lvl>
    <w:lvl w:ilvl="7">
      <w:start w:val="1"/>
      <w:numFmt w:val="bullet"/>
      <w:lvlText w:val="◦"/>
      <w:lvlJc w:val="left"/>
      <w:pPr>
        <w:tabs>
          <w:tab w:val="num" w:pos="3330"/>
        </w:tabs>
        <w:ind w:left="333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90"/>
        </w:tabs>
        <w:ind w:left="3690" w:hanging="360"/>
      </w:pPr>
      <w:rPr>
        <w:rFonts w:ascii="OpenSymbol" w:hAnsi="OpenSymbol" w:cs="OpenSymbol;Arial Unicode MS" w:hint="default"/>
      </w:rPr>
    </w:lvl>
  </w:abstractNum>
  <w:abstractNum w:abstractNumId="2">
    <w:nsid w:val="4FF125C0"/>
    <w:multiLevelType w:val="multilevel"/>
    <w:tmpl w:val="D9BC8C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B3C4A"/>
    <w:rsid w:val="002D3DA6"/>
    <w:rsid w:val="00AB3C4A"/>
    <w:rsid w:val="00B1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9CF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color w:val="00000A"/>
      <w:sz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696545"/>
    <w:rPr>
      <w:rFonts w:eastAsiaTheme="majorEastAsia" w:cstheme="majorBidi"/>
      <w:b/>
      <w:spacing w:val="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character" w:customStyle="1" w:styleId="WW8Num3z0">
    <w:name w:val="WW8Num3z0"/>
    <w:qFormat/>
    <w:rPr>
      <w:rFonts w:ascii="Symbol" w:eastAsia="Arial" w:hAnsi="Symbo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  <w:lang w:val="pt-BR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eastAsia="Arial" w:hAnsi="Symbol" w:cs="Arial"/>
      <w:i w:val="0"/>
      <w:iCs w:val="0"/>
      <w:color w:val="000000"/>
      <w:sz w:val="22"/>
      <w:szCs w:val="22"/>
      <w:shd w:val="clear" w:color="auto" w:fill="FFFFFF"/>
      <w:lang w:val="pt-BR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eletype">
    <w:name w:val="Teletype"/>
    <w:qFormat/>
    <w:rPr>
      <w:rFonts w:ascii="DejaVu Sans Mono" w:eastAsia="DejaVu Sans Mono" w:hAnsi="DejaVu Sans Mono" w:cs="DejaVu Sans Mono"/>
    </w:rPr>
  </w:style>
  <w:style w:type="character" w:customStyle="1" w:styleId="ListLabel1">
    <w:name w:val="ListLabel 1"/>
    <w:qFormat/>
    <w:rPr>
      <w:rFonts w:ascii="Arial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  <w:lang w:val="pt-BR"/>
    </w:rPr>
  </w:style>
  <w:style w:type="character" w:customStyle="1" w:styleId="ListLabel2">
    <w:name w:val="ListLabel 2"/>
    <w:qFormat/>
    <w:rPr>
      <w:rFonts w:cs="OpenSymbol;Arial Unicode MS"/>
    </w:rPr>
  </w:style>
  <w:style w:type="character" w:customStyle="1" w:styleId="ListLabel3">
    <w:name w:val="ListLabel 3"/>
    <w:qFormat/>
    <w:rPr>
      <w:rFonts w:ascii="Arial" w:hAnsi="Arial" w:cs="Arial"/>
      <w:b w:val="0"/>
      <w:bCs w:val="0"/>
      <w:i w:val="0"/>
      <w:iCs w:val="0"/>
      <w:strike w:val="0"/>
      <w:dstrike w:val="0"/>
      <w:color w:val="000000"/>
      <w:sz w:val="22"/>
      <w:szCs w:val="22"/>
      <w:highlight w:val="white"/>
      <w:u w:val="none"/>
      <w:lang w:val="pt-BR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qFormat/>
    <w:rsid w:val="00C84436"/>
    <w:pPr>
      <w:spacing w:beforeAutospacing="1" w:afterAutospacing="1"/>
    </w:pPr>
    <w:rPr>
      <w:rFonts w:ascii="Times New Roman" w:hAnsi="Times New Roman" w:cs="Times New Roman"/>
      <w:lang w:val="en-US"/>
    </w:rPr>
  </w:style>
  <w:style w:type="paragraph" w:customStyle="1" w:styleId="Quotations">
    <w:name w:val="Quotations"/>
    <w:basedOn w:val="Normal"/>
    <w:qFormat/>
  </w:style>
  <w:style w:type="paragraph" w:styleId="Subtitle">
    <w:name w:val="Subtitle"/>
    <w:basedOn w:val="Heading"/>
    <w:qFormat/>
  </w:style>
  <w:style w:type="paragraph" w:customStyle="1" w:styleId="1-BIBLIOGRAFIA">
    <w:name w:val="1-BIBLIOGRAFIA"/>
    <w:basedOn w:val="Normal"/>
    <w:qFormat/>
    <w:pPr>
      <w:spacing w:after="57"/>
      <w:ind w:left="720" w:hanging="720"/>
    </w:pPr>
    <w:rPr>
      <w:rFonts w:ascii="Times New Roman" w:hAnsi="Times New Roman" w:cs="Times New Roman"/>
    </w:rPr>
  </w:style>
  <w:style w:type="numbering" w:customStyle="1" w:styleId="WW8Num3">
    <w:name w:val="WW8Num3"/>
  </w:style>
  <w:style w:type="numbering" w:customStyle="1" w:styleId="WW8Num2">
    <w:name w:val="WW8Num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oleObject1.bin"/><Relationship Id="rId7" Type="http://schemas.openxmlformats.org/officeDocument/2006/relationships/hyperlink" Target="http://portal.mec.gov.br/index.php?option=com_content&amp;view=article&amp;id=12907:legislacoes&amp;catid=70:legislacoes" TargetMode="External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1405</Words>
  <Characters>8011</Characters>
  <Application>Microsoft Macintosh Word</Application>
  <DocSecurity>0</DocSecurity>
  <Lines>66</Lines>
  <Paragraphs>18</Paragraphs>
  <ScaleCrop>false</ScaleCrop>
  <LinksUpToDate>false</LinksUpToDate>
  <CharactersWithSpaces>9398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64</cp:revision>
  <cp:lastPrinted>2016-03-17T20:59:00Z</cp:lastPrinted>
  <dcterms:created xsi:type="dcterms:W3CDTF">2016-03-15T14:18:00Z</dcterms:created>
  <dcterms:modified xsi:type="dcterms:W3CDTF">2017-03-02T14:39:00Z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