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97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108"/>
        <w:gridCol w:w="190"/>
        <w:gridCol w:w="4898"/>
        <w:gridCol w:w="190"/>
        <w:gridCol w:w="3585"/>
      </w:tblGrid>
      <w:tr>
        <w:tblPrEx>
          <w:shd w:val="clear" w:color="auto" w:fill="d0ddef"/>
        </w:tblPrEx>
        <w:trPr>
          <w:trHeight w:val="1060" w:hRule="atLeast"/>
        </w:trPr>
        <w:tc>
          <w:tcPr>
            <w:tcW w:type="dxa" w:w="1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drawing>
                <wp:inline distT="0" distB="0" distL="0" distR="0">
                  <wp:extent cx="502285" cy="552450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285" cy="5524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50"/>
                <w:kern w:val="0"/>
                <w:position w:val="0"/>
                <w:sz w:val="22"/>
                <w:szCs w:val="22"/>
                <w:u w:val="none" w:color="000000"/>
                <w:vertAlign w:val="baseline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5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UNIVERSIDADE FEDERAL DA BAHIA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Escola de M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ú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 xml:space="preserve">sica 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Departamento de M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ú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sica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2"/>
                <w:szCs w:val="12"/>
                <w:u w:val="none" w:color="000000"/>
                <w:vertAlign w:val="baseline"/>
                <w:rtl w:val="0"/>
                <w:lang w:val="pt-PT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pt-PT"/>
              </w:rPr>
              <w:t>PROGRAMA DE COMPONENTE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pt-PT"/>
              </w:rPr>
              <w:t>CURRICULAR</w:t>
            </w:r>
          </w:p>
        </w:tc>
      </w:tr>
    </w:tbl>
    <w:p>
      <w:pPr>
        <w:pStyle w:val="Body"/>
        <w:widowControl w:val="0"/>
        <w:jc w:val="center"/>
      </w:pPr>
    </w:p>
    <w:p>
      <w:pPr>
        <w:pStyle w:val="Body"/>
        <w:rPr>
          <w:sz w:val="20"/>
          <w:szCs w:val="20"/>
        </w:rPr>
      </w:pPr>
    </w:p>
    <w:tbl>
      <w:tblPr>
        <w:tblW w:w="997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570"/>
        <w:gridCol w:w="190"/>
        <w:gridCol w:w="8214"/>
      </w:tblGrid>
      <w:tr>
        <w:tblPrEx>
          <w:shd w:val="clear" w:color="auto" w:fill="d0ddef"/>
        </w:tblPrEx>
        <w:trPr>
          <w:trHeight w:val="210" w:hRule="atLeast"/>
        </w:trPr>
        <w:tc>
          <w:tcPr>
            <w:tcW w:type="dxa" w:w="1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C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Ó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DIGO</w:t>
            </w:r>
          </w:p>
        </w:tc>
        <w:tc>
          <w:tcPr>
            <w:tcW w:type="dxa" w:w="1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40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NOME</w:t>
            </w:r>
          </w:p>
        </w:tc>
      </w:tr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1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MUSA76</w:t>
            </w:r>
          </w:p>
        </w:tc>
        <w:tc>
          <w:tcPr>
            <w:tcW w:type="dxa" w:w="1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60" w:after="160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Literatura e Estrutura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çã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o Musical VIII</w:t>
            </w:r>
          </w:p>
        </w:tc>
      </w:tr>
    </w:tbl>
    <w:p>
      <w:pPr>
        <w:pStyle w:val="Body"/>
        <w:widowControl w:val="0"/>
        <w:jc w:val="center"/>
        <w:rPr>
          <w:sz w:val="20"/>
          <w:szCs w:val="20"/>
        </w:rPr>
      </w:pPr>
    </w:p>
    <w:p>
      <w:pPr>
        <w:pStyle w:val="Body"/>
        <w:rPr>
          <w:sz w:val="16"/>
          <w:szCs w:val="16"/>
        </w:rPr>
      </w:pPr>
    </w:p>
    <w:tbl>
      <w:tblPr>
        <w:tblW w:w="991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>
        <w:tblPrEx>
          <w:shd w:val="clear" w:color="auto" w:fill="d0ddef"/>
        </w:tblPrEx>
        <w:trPr>
          <w:trHeight w:val="465" w:hRule="atLeast"/>
        </w:trPr>
        <w:tc>
          <w:tcPr>
            <w:tcW w:type="dxa" w:w="261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CARGA HOR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Á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RIA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4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M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Ó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DULO</w:t>
            </w:r>
          </w:p>
        </w:tc>
        <w:tc>
          <w:tcPr>
            <w:tcW w:type="dxa" w:w="2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CURSO(S)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ANO VIGENTE</w:t>
            </w:r>
            <w:r>
              <w:rPr>
                <w:rFonts w:ascii="Calibri" w:cs="Calibri" w:hAnsi="Calibri" w:eastAsia="Calibri"/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 xml:space="preserve"> </w:t>
            </w:r>
          </w:p>
        </w:tc>
      </w:tr>
      <w:tr>
        <w:tblPrEx>
          <w:shd w:val="clear" w:color="auto" w:fill="d0ddef"/>
        </w:tblPrEx>
        <w:trPr>
          <w:trHeight w:val="220" w:hRule="atLeast"/>
        </w:trPr>
        <w:tc>
          <w:tcPr>
            <w:tcW w:type="dxa" w:w="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</w:t>
            </w:r>
          </w:p>
        </w:tc>
        <w:tc>
          <w:tcPr>
            <w:tcW w:type="dxa" w:w="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P</w:t>
            </w:r>
          </w:p>
        </w:tc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E</w:t>
            </w:r>
          </w:p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TOTAL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P</w:t>
            </w:r>
          </w:p>
        </w:tc>
        <w:tc>
          <w:tcPr>
            <w:tcW w:type="dxa" w:w="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E</w:t>
            </w:r>
          </w:p>
        </w:tc>
        <w:tc>
          <w:tcPr>
            <w:tcW w:type="dxa" w:w="28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Gradua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çã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o</w:t>
            </w:r>
          </w:p>
        </w:tc>
        <w:tc>
          <w:tcPr>
            <w:tcW w:type="dxa" w:w="19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3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2009.1</w:t>
            </w:r>
          </w:p>
        </w:tc>
      </w:tr>
      <w:tr>
        <w:tblPrEx>
          <w:shd w:val="clear" w:color="auto" w:fill="d0ddef"/>
        </w:tblPrEx>
        <w:trPr>
          <w:trHeight w:val="461" w:hRule="atLeast"/>
        </w:trPr>
        <w:tc>
          <w:tcPr>
            <w:tcW w:type="dxa" w:w="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34</w:t>
            </w:r>
          </w:p>
        </w:tc>
        <w:tc>
          <w:tcPr>
            <w:tcW w:type="dxa" w:w="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34</w:t>
            </w:r>
          </w:p>
        </w:tc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68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15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6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3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"/>
        <w:widowControl w:val="0"/>
        <w:jc w:val="center"/>
        <w:rPr>
          <w:sz w:val="16"/>
          <w:szCs w:val="16"/>
        </w:rPr>
      </w:pPr>
    </w:p>
    <w:p>
      <w:pPr>
        <w:pStyle w:val="Body"/>
        <w:rPr>
          <w:sz w:val="2"/>
          <w:szCs w:val="2"/>
        </w:rPr>
      </w:pPr>
    </w:p>
    <w:p>
      <w:pPr>
        <w:pStyle w:val="Body"/>
        <w:rPr>
          <w:sz w:val="2"/>
          <w:szCs w:val="2"/>
        </w:rPr>
      </w:pPr>
    </w:p>
    <w:p>
      <w:pPr>
        <w:pStyle w:val="Body"/>
        <w:rPr>
          <w:sz w:val="2"/>
          <w:szCs w:val="2"/>
        </w:rPr>
      </w:pPr>
    </w:p>
    <w:p>
      <w:pPr>
        <w:pStyle w:val="Body"/>
      </w:pPr>
    </w:p>
    <w:p>
      <w:pPr>
        <w:pStyle w:val="Heading"/>
      </w:pPr>
      <w:r>
        <w:rPr>
          <w:rtl w:val="0"/>
        </w:rPr>
        <w:t>Ementa</w:t>
      </w:r>
    </w:p>
    <w:p>
      <w:pPr>
        <w:pStyle w:val="Body"/>
      </w:pPr>
      <w:r>
        <w:rPr>
          <w:rtl w:val="0"/>
          <w:lang w:val="pt-PT"/>
        </w:rPr>
        <w:t>Estudo das t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cnicas contrapont</w:t>
      </w:r>
      <w:r>
        <w:rPr>
          <w:rtl w:val="0"/>
        </w:rPr>
        <w:t>í</w:t>
      </w:r>
      <w:r>
        <w:rPr>
          <w:rtl w:val="0"/>
          <w:lang w:val="pt-PT"/>
        </w:rPr>
        <w:t>sticas e harm</w:t>
      </w:r>
      <w:r>
        <w:rPr>
          <w:rtl w:val="0"/>
        </w:rPr>
        <w:t>ô</w:t>
      </w:r>
      <w:r>
        <w:rPr>
          <w:rtl w:val="0"/>
          <w:lang w:val="pt-PT"/>
        </w:rPr>
        <w:t>nicas complexas e das grandes formas da m</w:t>
      </w:r>
      <w:r>
        <w:rPr>
          <w:rtl w:val="0"/>
        </w:rPr>
        <w:t>ú</w:t>
      </w:r>
      <w:r>
        <w:rPr>
          <w:rtl w:val="0"/>
          <w:lang w:val="it-IT"/>
        </w:rPr>
        <w:t>sica sinf</w:t>
      </w:r>
      <w:r>
        <w:rPr>
          <w:rtl w:val="0"/>
        </w:rPr>
        <w:t>ô</w:t>
      </w:r>
      <w:r>
        <w:rPr>
          <w:rtl w:val="0"/>
          <w:lang w:val="it-IT"/>
        </w:rPr>
        <w:t>nica e sinf</w:t>
      </w:r>
      <w:r>
        <w:rPr>
          <w:rtl w:val="0"/>
        </w:rPr>
        <w:t>ô</w:t>
      </w:r>
      <w:r>
        <w:rPr>
          <w:rtl w:val="0"/>
          <w:lang w:val="pt-PT"/>
        </w:rPr>
        <w:t>nico-coral.</w:t>
      </w:r>
    </w:p>
    <w:p>
      <w:pPr>
        <w:pStyle w:val="Heading"/>
      </w:pPr>
      <w:r>
        <w:rPr>
          <w:rtl w:val="0"/>
        </w:rPr>
        <w:t>Objetivos</w:t>
      </w:r>
    </w:p>
    <w:p>
      <w:pPr>
        <w:pStyle w:val="Body"/>
      </w:pPr>
      <w:r>
        <w:rPr>
          <w:rtl w:val="0"/>
          <w:lang w:val="pt-PT"/>
        </w:rPr>
        <w:t>Estudo dos contextos musicais - como estruturas formais, harm</w:t>
      </w:r>
      <w:r>
        <w:rPr>
          <w:rtl w:val="0"/>
        </w:rPr>
        <w:t>ô</w:t>
      </w:r>
      <w:r>
        <w:rPr>
          <w:rtl w:val="0"/>
          <w:lang w:val="pt-PT"/>
        </w:rPr>
        <w:t>nicas, mel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dicas, textuais, bem como orquestrais - em obras de grandes dimens</w:t>
      </w:r>
      <w:r>
        <w:rPr>
          <w:rtl w:val="0"/>
          <w:lang w:val="pt-PT"/>
        </w:rPr>
        <w:t>õ</w:t>
      </w:r>
      <w:r>
        <w:rPr>
          <w:rtl w:val="0"/>
          <w:lang w:val="pt-PT"/>
        </w:rPr>
        <w:t>es, com o objetivo de oferecer ao aluno uma vis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estrutural musical em larga escala.</w:t>
      </w:r>
    </w:p>
    <w:p>
      <w:pPr>
        <w:pStyle w:val="Heading"/>
      </w:pPr>
      <w:r>
        <w:rPr>
          <w:rtl w:val="0"/>
          <w:lang w:val="it-IT"/>
        </w:rPr>
        <w:t>Conte</w:t>
      </w:r>
      <w:r>
        <w:rPr>
          <w:rtl w:val="0"/>
        </w:rPr>
        <w:t>ú</w:t>
      </w:r>
      <w:r>
        <w:rPr>
          <w:rtl w:val="0"/>
        </w:rPr>
        <w:t>dos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An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lise harm</w:t>
      </w:r>
      <w:r>
        <w:rPr>
          <w:rtl w:val="0"/>
          <w:lang w:val="pt-PT"/>
        </w:rPr>
        <w:t>ô</w:t>
      </w:r>
      <w:r>
        <w:rPr>
          <w:rtl w:val="0"/>
          <w:lang w:val="pt-PT"/>
        </w:rPr>
        <w:t>nica em uma sinfonia da segunda metade do s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culo XIX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Tonalidade expandida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O uso da sequ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ncia nas composi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p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s-rom</w:t>
      </w:r>
      <w:r>
        <w:rPr>
          <w:rtl w:val="0"/>
          <w:lang w:val="pt-PT"/>
        </w:rPr>
        <w:t>â</w:t>
      </w:r>
      <w:r>
        <w:rPr>
          <w:rtl w:val="0"/>
          <w:lang w:val="pt-PT"/>
        </w:rPr>
        <w:t>nticas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Orquestra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como determinante composicional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Contraponto avan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ado, incluindo contraponto invers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vel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Harmonia nos per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odos rom</w:t>
      </w:r>
      <w:r>
        <w:rPr>
          <w:rtl w:val="0"/>
          <w:lang w:val="pt-PT"/>
        </w:rPr>
        <w:t>â</w:t>
      </w:r>
      <w:r>
        <w:rPr>
          <w:rtl w:val="0"/>
          <w:lang w:val="pt-PT"/>
        </w:rPr>
        <w:t>ntico e p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s-rom</w:t>
      </w:r>
      <w:r>
        <w:rPr>
          <w:rtl w:val="0"/>
          <w:lang w:val="pt-PT"/>
        </w:rPr>
        <w:t>â</w:t>
      </w:r>
      <w:r>
        <w:rPr>
          <w:rtl w:val="0"/>
          <w:lang w:val="pt-PT"/>
        </w:rPr>
        <w:t>ntico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Semin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rios sobre: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A Sinfonia no s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culo XIX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O Concerto no s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culo XIX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A M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sica Program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tica nos s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cs. XIX e XX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A Can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Rom</w:t>
      </w:r>
      <w:r>
        <w:rPr>
          <w:rtl w:val="0"/>
          <w:lang w:val="pt-PT"/>
        </w:rPr>
        <w:t>â</w:t>
      </w:r>
      <w:r>
        <w:rPr>
          <w:rtl w:val="0"/>
          <w:lang w:val="pt-PT"/>
        </w:rPr>
        <w:t>ntica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 xml:space="preserve">A 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pera entre 1850 e 1910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O Bal</w:t>
      </w: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entre 1850 e 1920</w:t>
      </w:r>
    </w:p>
    <w:p>
      <w:pPr>
        <w:pStyle w:val="Heading"/>
      </w:pPr>
      <w:r>
        <w:rPr>
          <w:rtl w:val="0"/>
        </w:rPr>
        <w:t>Metodologia</w:t>
      </w:r>
    </w:p>
    <w:p>
      <w:pPr>
        <w:pStyle w:val="Body"/>
      </w:pPr>
      <w:r>
        <w:rPr>
          <w:rtl w:val="0"/>
          <w:lang w:val="pt-PT"/>
        </w:rPr>
        <w:t>Aulas te</w:t>
      </w:r>
      <w:r>
        <w:rPr>
          <w:rtl w:val="0"/>
          <w:lang w:val="es-ES_tradnl"/>
        </w:rPr>
        <w:t>ó</w:t>
      </w:r>
      <w:r>
        <w:rPr>
          <w:rtl w:val="0"/>
        </w:rPr>
        <w:t>rico-pr</w:t>
      </w:r>
      <w:r>
        <w:rPr>
          <w:rtl w:val="0"/>
        </w:rPr>
        <w:t>á</w:t>
      </w:r>
      <w:r>
        <w:rPr>
          <w:rtl w:val="0"/>
          <w:lang w:val="pt-PT"/>
        </w:rPr>
        <w:t>ticas</w:t>
      </w:r>
    </w:p>
    <w:p>
      <w:pPr>
        <w:pStyle w:val="Heading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  <w:lang w:val="pt-PT"/>
        </w:rPr>
        <w:t>Avalia</w:t>
      </w:r>
      <w:r>
        <w:rPr>
          <w:rFonts w:ascii="Trebuchet MS" w:hAnsi="Trebuchet MS" w:hint="default"/>
          <w:rtl w:val="0"/>
          <w:lang w:val="pt-PT"/>
        </w:rPr>
        <w:t>çã</w:t>
      </w:r>
      <w:r>
        <w:rPr>
          <w:rFonts w:ascii="Trebuchet MS" w:hAnsi="Trebuchet MS"/>
          <w:rtl w:val="0"/>
        </w:rPr>
        <w:t>o</w:t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  <w:lang w:val="pt-PT"/>
        </w:rPr>
        <w:t>Provas de audi</w:t>
      </w:r>
      <w:r>
        <w:rPr>
          <w:rFonts w:ascii="Trebuchet MS" w:hAnsi="Trebuchet MS" w:hint="default"/>
          <w:rtl w:val="0"/>
          <w:lang w:val="pt-PT"/>
        </w:rPr>
        <w:t>çã</w:t>
      </w:r>
      <w:r>
        <w:rPr>
          <w:rFonts w:ascii="Trebuchet MS" w:hAnsi="Trebuchet MS"/>
          <w:rtl w:val="0"/>
          <w:lang w:val="pt-PT"/>
        </w:rPr>
        <w:t>o e escrita, an</w:t>
      </w:r>
      <w:r>
        <w:rPr>
          <w:rFonts w:ascii="Trebuchet MS" w:hAnsi="Trebuchet MS" w:hint="default"/>
          <w:rtl w:val="0"/>
        </w:rPr>
        <w:t>á</w:t>
      </w:r>
      <w:r>
        <w:rPr>
          <w:rFonts w:ascii="Trebuchet MS" w:hAnsi="Trebuchet MS"/>
          <w:rtl w:val="0"/>
          <w:lang w:val="pt-PT"/>
        </w:rPr>
        <w:t>lise de obras e semin</w:t>
      </w:r>
      <w:r>
        <w:rPr>
          <w:rFonts w:ascii="Trebuchet MS" w:hAnsi="Trebuchet MS" w:hint="default"/>
          <w:rtl w:val="0"/>
        </w:rPr>
        <w:t>á</w:t>
      </w:r>
      <w:r>
        <w:rPr>
          <w:rFonts w:ascii="Trebuchet MS" w:hAnsi="Trebuchet MS"/>
          <w:rtl w:val="0"/>
          <w:lang w:val="pt-PT"/>
        </w:rPr>
        <w:t>rios orais.</w:t>
      </w:r>
    </w:p>
    <w:p>
      <w:pPr>
        <w:pStyle w:val="Heading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</w:rPr>
        <w:t>Bibliografia</w:t>
      </w:r>
    </w:p>
    <w:p>
      <w:pPr>
        <w:pStyle w:val="Default"/>
        <w:shd w:val="clear" w:color="auto" w:fill="ffffff"/>
        <w:bidi w:val="0"/>
        <w:spacing w:line="100" w:lineRule="atLeast"/>
        <w:ind w:left="0" w:right="0" w:firstLine="0"/>
        <w:jc w:val="left"/>
        <w:rPr>
          <w:rFonts w:ascii="Trebuchet MS" w:cs="Trebuchet MS" w:hAnsi="Trebuchet MS" w:eastAsia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</w:pPr>
      <w:r>
        <w:rPr>
          <w:rFonts w:ascii="Trebuchet MS" w:hAnsi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  <w:t>Principal</w:t>
      </w: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rebuchet MS" w:cs="Trebuchet MS" w:hAnsi="Trebuchet MS" w:eastAsia="Trebuchet MS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sz w:val="24"/>
          <w:szCs w:val="24"/>
          <w:shd w:val="clear" w:color="auto" w:fill="ffffff"/>
          <w:rtl w:val="0"/>
          <w:lang w:val="da-DK"/>
        </w:rPr>
        <w:t>Tragtenberg, Livio.</w:t>
      </w:r>
      <w:r>
        <w:rPr>
          <w:rFonts w:ascii="Trebuchet MS" w:hAnsi="Trebuchet MS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>Contraponto: uma arte de compor. Sa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shd w:val="clear" w:color="auto" w:fill="ffffff"/>
          <w:rtl w:val="0"/>
        </w:rPr>
        <w:t>̃</w:t>
      </w:r>
      <w:r>
        <w:rPr>
          <w:rFonts w:ascii="Trebuchet MS" w:hAnsi="Trebuchet MS"/>
          <w:sz w:val="24"/>
          <w:szCs w:val="24"/>
          <w:shd w:val="clear" w:color="auto" w:fill="ffffff"/>
          <w:rtl w:val="0"/>
        </w:rPr>
        <w:t>o Paulo, SP, Brasil: Edusp, 2002.</w:t>
      </w: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rebuchet MS" w:cs="Trebuchet MS" w:hAnsi="Trebuchet MS" w:eastAsia="Trebuchet MS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rebuchet MS" w:cs="Trebuchet MS" w:hAnsi="Trebuchet MS" w:eastAsia="Trebuchet MS"/>
          <w:sz w:val="24"/>
          <w:szCs w:val="24"/>
          <w:shd w:val="clear" w:color="auto" w:fill="ffffff"/>
          <w:rtl w:val="0"/>
          <w:lang w:val="pt-PT"/>
        </w:rPr>
      </w:pP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>Zamacois, Joaquim.</w:t>
      </w:r>
      <w:r>
        <w:rPr>
          <w:rFonts w:ascii="Trebuchet MS" w:hAnsi="Trebuchet MS" w:hint="default"/>
          <w:sz w:val="24"/>
          <w:szCs w:val="24"/>
          <w:shd w:val="clear" w:color="auto" w:fill="ffffff"/>
          <w:rtl w:val="0"/>
          <w:lang w:val="pt-PT"/>
        </w:rPr>
        <w:t> 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 xml:space="preserve">Curso de formas musicales : con numerosos ejemplos musicales. Barcelona: 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>Editorial Labor Espanha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 xml:space="preserve">, 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>1960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>.</w:t>
      </w:r>
    </w:p>
    <w:p>
      <w:pPr>
        <w:pStyle w:val="Default"/>
        <w:shd w:val="clear" w:color="auto" w:fill="ffffff"/>
        <w:bidi w:val="0"/>
        <w:spacing w:line="100" w:lineRule="atLeast"/>
        <w:ind w:left="0" w:right="0" w:firstLine="0"/>
        <w:jc w:val="left"/>
        <w:rPr>
          <w:rFonts w:ascii="Trebuchet MS" w:cs="Trebuchet MS" w:hAnsi="Trebuchet MS" w:eastAsia="Trebuchet MS"/>
          <w:kern w:val="1"/>
          <w:sz w:val="24"/>
          <w:szCs w:val="24"/>
          <w:u w:color="000000"/>
          <w:rtl w:val="0"/>
          <w:lang w:val="pt-PT"/>
        </w:rPr>
      </w:pPr>
    </w:p>
    <w:p>
      <w:pPr>
        <w:pStyle w:val="Default"/>
        <w:shd w:val="clear" w:color="auto" w:fill="ffffff"/>
        <w:bidi w:val="0"/>
        <w:spacing w:line="100" w:lineRule="atLeast"/>
        <w:ind w:left="0" w:right="0" w:firstLine="0"/>
        <w:jc w:val="left"/>
        <w:rPr>
          <w:rFonts w:ascii="Trebuchet MS" w:cs="Trebuchet MS" w:hAnsi="Trebuchet MS" w:eastAsia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</w:pPr>
      <w:r>
        <w:rPr>
          <w:rFonts w:ascii="Trebuchet MS" w:hAnsi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  <w:t>Auxiliar</w:t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</w:rPr>
        <w:t xml:space="preserve">Kostka, Stefan e Payne, Dorothy. </w:t>
      </w:r>
      <w:r>
        <w:rPr>
          <w:rFonts w:ascii="Trebuchet MS" w:hAnsi="Trebuchet MS"/>
          <w:i w:val="1"/>
          <w:iCs w:val="1"/>
          <w:rtl w:val="0"/>
          <w:lang w:val="en-US"/>
        </w:rPr>
        <w:t>Tonal Harmony</w:t>
      </w:r>
      <w:r>
        <w:rPr>
          <w:rFonts w:ascii="Trebuchet MS" w:hAnsi="Trebuchet MS"/>
          <w:rtl w:val="0"/>
          <w:lang w:val="es-ES_tradnl"/>
        </w:rPr>
        <w:t>. Nova York: Alfred A. Knopf, 1989.</w:t>
      </w:r>
    </w:p>
    <w:p>
      <w:pPr>
        <w:pStyle w:val="Body"/>
        <w:rPr>
          <w:rFonts w:ascii="Trebuchet MS" w:cs="Trebuchet MS" w:hAnsi="Trebuchet MS" w:eastAsia="Trebuchet MS"/>
        </w:rPr>
      </w:pP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  <w:lang w:val="pt-PT"/>
        </w:rPr>
        <w:t>Partituras dispon</w:t>
      </w:r>
      <w:r>
        <w:rPr>
          <w:rFonts w:ascii="Trebuchet MS" w:hAnsi="Trebuchet MS" w:hint="default"/>
          <w:rtl w:val="0"/>
        </w:rPr>
        <w:t>í</w:t>
      </w:r>
      <w:r>
        <w:rPr>
          <w:rFonts w:ascii="Trebuchet MS" w:hAnsi="Trebuchet MS"/>
          <w:rtl w:val="0"/>
          <w:lang w:val="pt-PT"/>
        </w:rPr>
        <w:t>veis no IMSLP. Dispon</w:t>
      </w:r>
      <w:r>
        <w:rPr>
          <w:rFonts w:ascii="Trebuchet MS" w:hAnsi="Trebuchet MS" w:hint="default"/>
          <w:rtl w:val="0"/>
        </w:rPr>
        <w:t>í</w:t>
      </w:r>
      <w:r>
        <w:rPr>
          <w:rFonts w:ascii="Trebuchet MS" w:hAnsi="Trebuchet MS"/>
          <w:rtl w:val="0"/>
          <w:lang w:val="pt-PT"/>
        </w:rPr>
        <w:t>vel em &lt;http://imslp.org&gt;. Acesso em 01 jan. 2016.</w:t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tbl>
      <w:tblPr>
        <w:tblW w:w="548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875"/>
        <w:gridCol w:w="609"/>
      </w:tblGrid>
      <w:tr>
        <w:tblPrEx>
          <w:shd w:val="clear" w:color="auto" w:fill="d0ddef"/>
        </w:tblPrEx>
        <w:trPr>
          <w:trHeight w:val="613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Programa de componente curricular proposto na reuni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ã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o do Departamento, em 12/08/2016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540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Pedro Ribeiro Kroger Junior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Chefe do Departamento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jc w:val="center"/>
      </w:pPr>
      <w:r/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120" w:line="240" w:lineRule="auto"/>
      <w:ind w:left="0" w:right="0" w:firstLine="0"/>
      <w:jc w:val="left"/>
      <w:outlineLvl w:val="0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pt-PT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