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d0ddef"/>
        </w:tblPrEx>
        <w:trPr>
          <w:trHeight w:val="106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drawing>
                <wp:inline distT="0" distB="0" distL="0" distR="0">
                  <wp:extent cx="495935" cy="54673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54673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UNIVERSIDADE FEDERAL DA BAHIA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Escola de M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ú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 xml:space="preserve">sica 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Departamento de M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ú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2"/>
                <w:szCs w:val="12"/>
                <w:u w:val="none" w:color="000000"/>
                <w:vertAlign w:val="baseline"/>
                <w:rtl w:val="0"/>
                <w:lang w:val="pt-PT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pt-PT"/>
              </w:rPr>
              <w:t>PROGRAMA DE COMPONENTE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pt-PT"/>
              </w:rPr>
              <w:t>CURRICULAR</w:t>
            </w:r>
          </w:p>
        </w:tc>
      </w:tr>
    </w:tbl>
    <w:p>
      <w:pPr>
        <w:pStyle w:val="Body"/>
        <w:widowControl w:val="0"/>
        <w:jc w:val="center"/>
      </w:pPr>
    </w:p>
    <w:p>
      <w:pPr>
        <w:pStyle w:val="Body"/>
        <w:rPr>
          <w:sz w:val="20"/>
          <w:szCs w:val="20"/>
        </w:rPr>
      </w:pPr>
    </w:p>
    <w:tbl>
      <w:tblPr>
        <w:tblW w:w="997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70"/>
        <w:gridCol w:w="190"/>
        <w:gridCol w:w="8214"/>
      </w:tblGrid>
      <w:tr>
        <w:tblPrEx>
          <w:shd w:val="clear" w:color="auto" w:fill="d0ddef"/>
        </w:tblPrEx>
        <w:trPr>
          <w:trHeight w:val="210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C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40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1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MUSA75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2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60" w:after="160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Literatura e Estrutura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o Musical VII</w:t>
            </w:r>
          </w:p>
        </w:tc>
      </w:tr>
    </w:tbl>
    <w:p>
      <w:pPr>
        <w:pStyle w:val="Body"/>
        <w:widowControl w:val="0"/>
        <w:jc w:val="center"/>
        <w:rPr>
          <w:sz w:val="20"/>
          <w:szCs w:val="20"/>
        </w:rPr>
      </w:pPr>
    </w:p>
    <w:p>
      <w:pPr>
        <w:pStyle w:val="Body"/>
        <w:rPr>
          <w:sz w:val="16"/>
          <w:szCs w:val="16"/>
        </w:rPr>
      </w:pPr>
    </w:p>
    <w:tbl>
      <w:tblPr>
        <w:tblW w:w="991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>
        <w:tblPrEx>
          <w:shd w:val="clear" w:color="auto" w:fill="d0ddef"/>
        </w:tblPrEx>
        <w:trPr>
          <w:trHeight w:val="465" w:hRule="atLeast"/>
        </w:trPr>
        <w:tc>
          <w:tcPr>
            <w:tcW w:type="dxa" w:w="261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CARGA HOR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Á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RIA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4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M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DULO</w:t>
            </w:r>
          </w:p>
        </w:tc>
        <w:tc>
          <w:tcPr>
            <w:tcW w:type="dxa" w:w="2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CURSO(S)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ANO VIGENTE</w:t>
            </w:r>
            <w:r>
              <w:rPr>
                <w:rFonts w:ascii="Calibri" w:cs="Calibri" w:hAnsi="Calibri" w:eastAsia="Calibri"/>
                <w:b w:val="0"/>
                <w:b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 xml:space="preserve"> </w:t>
            </w:r>
          </w:p>
        </w:tc>
      </w:tr>
      <w:tr>
        <w:tblPrEx>
          <w:shd w:val="clear" w:color="auto" w:fill="d0ddef"/>
        </w:tblPrEx>
        <w:trPr>
          <w:trHeight w:val="220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TOTAL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28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Gradua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</w:t>
            </w:r>
          </w:p>
        </w:tc>
        <w:tc>
          <w:tcPr>
            <w:tcW w:type="dxa" w:w="19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3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2009.1</w:t>
            </w:r>
          </w:p>
        </w:tc>
      </w:tr>
      <w:tr>
        <w:tblPrEx>
          <w:shd w:val="clear" w:color="auto" w:fill="d0ddef"/>
        </w:tblPrEx>
        <w:trPr>
          <w:trHeight w:val="461" w:hRule="atLeast"/>
        </w:trPr>
        <w:tc>
          <w:tcPr>
            <w:tcW w:type="dxa" w:w="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68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15</w:t>
            </w:r>
          </w:p>
        </w:tc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93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"/>
        <w:widowControl w:val="0"/>
        <w:jc w:val="center"/>
        <w:rPr>
          <w:sz w:val="16"/>
          <w:szCs w:val="16"/>
        </w:rPr>
      </w:pPr>
    </w:p>
    <w:p>
      <w:pPr>
        <w:pStyle w:val="Body"/>
        <w:rPr>
          <w:sz w:val="2"/>
          <w:szCs w:val="2"/>
        </w:rPr>
      </w:pPr>
    </w:p>
    <w:p>
      <w:pPr>
        <w:pStyle w:val="Body"/>
        <w:rPr>
          <w:sz w:val="2"/>
          <w:szCs w:val="2"/>
        </w:rPr>
      </w:pPr>
    </w:p>
    <w:p>
      <w:pPr>
        <w:pStyle w:val="Body"/>
        <w:rPr>
          <w:sz w:val="2"/>
          <w:szCs w:val="2"/>
        </w:rPr>
      </w:pPr>
    </w:p>
    <w:p>
      <w:pPr>
        <w:pStyle w:val="Body"/>
      </w:pPr>
    </w:p>
    <w:p>
      <w:pPr>
        <w:pStyle w:val="Heading"/>
      </w:pPr>
      <w:r>
        <w:rPr>
          <w:rtl w:val="0"/>
        </w:rPr>
        <w:t>Ementa</w:t>
      </w:r>
    </w:p>
    <w:p>
      <w:pPr>
        <w:pStyle w:val="Body"/>
      </w:pPr>
      <w:r>
        <w:rPr>
          <w:rtl w:val="0"/>
          <w:lang w:val="pt-PT"/>
        </w:rPr>
        <w:t>Estudo de grandes formas musicais: Formas Sonata e suas modifica</w:t>
      </w:r>
      <w:r>
        <w:rPr>
          <w:rtl w:val="0"/>
          <w:lang w:val="pt-PT"/>
        </w:rPr>
        <w:t>çõ</w:t>
      </w:r>
      <w:r>
        <w:rPr>
          <w:rtl w:val="0"/>
          <w:lang w:val="it-IT"/>
        </w:rPr>
        <w:t>es. Concerto Sonata e Tema e Varia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 xml:space="preserve">es com 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nfase em An</w:t>
      </w:r>
      <w:r>
        <w:rPr>
          <w:rtl w:val="0"/>
        </w:rPr>
        <w:t>á</w:t>
      </w:r>
      <w:r>
        <w:rPr>
          <w:rtl w:val="0"/>
          <w:lang w:val="pt-PT"/>
        </w:rPr>
        <w:t xml:space="preserve">lise aplicada </w:t>
      </w:r>
      <w:r>
        <w:rPr>
          <w:rtl w:val="0"/>
          <w:lang w:val="fr-FR"/>
        </w:rPr>
        <w:t xml:space="preserve">à </w:t>
      </w:r>
      <w:r>
        <w:rPr>
          <w:rtl w:val="0"/>
          <w:lang w:val="it-IT"/>
        </w:rPr>
        <w:t>literatura pertinente.</w:t>
      </w:r>
    </w:p>
    <w:p>
      <w:pPr>
        <w:pStyle w:val="Heading"/>
      </w:pPr>
      <w:r>
        <w:rPr>
          <w:rtl w:val="0"/>
        </w:rPr>
        <w:t>Objetivos</w:t>
      </w:r>
    </w:p>
    <w:p>
      <w:pPr>
        <w:pStyle w:val="Body"/>
      </w:pPr>
      <w:r>
        <w:rPr>
          <w:rtl w:val="0"/>
          <w:lang w:val="pt-PT"/>
        </w:rPr>
        <w:t>Oferecer aos alunos uma 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contextualizada da m</w:t>
      </w:r>
      <w:r>
        <w:rPr>
          <w:rtl w:val="0"/>
        </w:rPr>
        <w:t>ú</w:t>
      </w:r>
      <w:r>
        <w:rPr>
          <w:rtl w:val="0"/>
          <w:lang w:val="pt-PT"/>
        </w:rPr>
        <w:t>sica do per</w:t>
      </w:r>
      <w:r>
        <w:rPr>
          <w:rtl w:val="0"/>
        </w:rPr>
        <w:t>í</w:t>
      </w:r>
      <w:r>
        <w:rPr>
          <w:rtl w:val="0"/>
          <w:lang w:val="pt-PT"/>
        </w:rPr>
        <w:t>odo renascentista, contrastando com o per</w:t>
      </w:r>
      <w:r>
        <w:rPr>
          <w:rtl w:val="0"/>
        </w:rPr>
        <w:t>í</w:t>
      </w:r>
      <w:r>
        <w:rPr>
          <w:rtl w:val="0"/>
          <w:lang w:val="pt-PT"/>
        </w:rPr>
        <w:t>odo medieval e barroco.</w:t>
      </w:r>
    </w:p>
    <w:p>
      <w:pPr>
        <w:pStyle w:val="Heading"/>
      </w:pPr>
      <w:r>
        <w:rPr>
          <w:rtl w:val="0"/>
          <w:lang w:val="it-IT"/>
        </w:rPr>
        <w:t>Conte</w:t>
      </w:r>
      <w:r>
        <w:rPr>
          <w:rtl w:val="0"/>
        </w:rPr>
        <w:t>ú</w:t>
      </w:r>
      <w:r>
        <w:rPr>
          <w:rtl w:val="0"/>
        </w:rPr>
        <w:t>dos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Revis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 harmonia e an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lise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geral hist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rica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Modalidade vs. Tonalidade: an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lise de obras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geral de contraponto estrito a 2 vozes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An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lise de obras da Renascen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</w:t>
      </w:r>
    </w:p>
    <w:p>
      <w:pPr>
        <w:pStyle w:val="List Paragraph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Semin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 xml:space="preserve">rios sobre: 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Moteto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Madrigal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Missa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M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sica reservata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Palestrina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Renascimento vs. Barroco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É</w:t>
      </w:r>
      <w:r>
        <w:rPr>
          <w:rtl w:val="0"/>
          <w:lang w:val="pt-PT"/>
        </w:rPr>
        <w:t>poca medieval vs. Renascimento</w:t>
      </w:r>
    </w:p>
    <w:p>
      <w:pPr>
        <w:pStyle w:val="List Paragraph"/>
        <w:numPr>
          <w:ilvl w:val="1"/>
          <w:numId w:val="2"/>
        </w:numPr>
        <w:rPr>
          <w:lang w:val="pt-PT"/>
        </w:rPr>
      </w:pPr>
      <w:r>
        <w:rPr>
          <w:rtl w:val="0"/>
          <w:lang w:val="pt-PT"/>
        </w:rPr>
        <w:t>Outros compositores renascentistas</w:t>
      </w:r>
    </w:p>
    <w:p>
      <w:pPr>
        <w:pStyle w:val="Heading"/>
      </w:pPr>
      <w:r>
        <w:rPr>
          <w:rtl w:val="0"/>
        </w:rPr>
        <w:t>Metodologia</w:t>
      </w:r>
    </w:p>
    <w:p>
      <w:pPr>
        <w:pStyle w:val="Body"/>
      </w:pPr>
      <w:r>
        <w:rPr>
          <w:rtl w:val="0"/>
          <w:lang w:val="pt-PT"/>
        </w:rPr>
        <w:t>Aulas te</w:t>
      </w:r>
      <w:r>
        <w:rPr>
          <w:rtl w:val="0"/>
          <w:lang w:val="es-ES_tradnl"/>
        </w:rPr>
        <w:t>ó</w:t>
      </w:r>
      <w:r>
        <w:rPr>
          <w:rtl w:val="0"/>
        </w:rPr>
        <w:t>rico-pr</w:t>
      </w:r>
      <w:r>
        <w:rPr>
          <w:rtl w:val="0"/>
        </w:rPr>
        <w:t>á</w:t>
      </w:r>
      <w:r>
        <w:rPr>
          <w:rtl w:val="0"/>
          <w:lang w:val="pt-PT"/>
        </w:rPr>
        <w:t>ticas</w:t>
      </w:r>
    </w:p>
    <w:p>
      <w:pPr>
        <w:pStyle w:val="Heading"/>
      </w:pPr>
      <w:r>
        <w:rPr>
          <w:rtl w:val="0"/>
        </w:rPr>
        <w:t>Avalia</w:t>
      </w:r>
      <w:r>
        <w:rPr>
          <w:rtl w:val="0"/>
        </w:rPr>
        <w:t>çã</w:t>
      </w:r>
      <w:r>
        <w:rPr>
          <w:rtl w:val="0"/>
        </w:rPr>
        <w:t>o</w:t>
      </w:r>
    </w:p>
    <w:p>
      <w:pPr>
        <w:pStyle w:val="Body"/>
      </w:pPr>
      <w:r>
        <w:rPr>
          <w:rtl w:val="0"/>
          <w:lang w:val="pt-PT"/>
        </w:rPr>
        <w:t>Provas de audi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 escrita, an</w:t>
      </w:r>
      <w:r>
        <w:rPr>
          <w:rtl w:val="0"/>
        </w:rPr>
        <w:t>á</w:t>
      </w:r>
      <w:r>
        <w:rPr>
          <w:rtl w:val="0"/>
          <w:lang w:val="pt-PT"/>
        </w:rPr>
        <w:t>lise de obras e semin</w:t>
      </w:r>
      <w:r>
        <w:rPr>
          <w:rtl w:val="0"/>
        </w:rPr>
        <w:t>á</w:t>
      </w:r>
      <w:r>
        <w:rPr>
          <w:rtl w:val="0"/>
          <w:lang w:val="pt-PT"/>
        </w:rPr>
        <w:t>rios orais.</w:t>
      </w:r>
    </w:p>
    <w:p>
      <w:pPr>
        <w:pStyle w:val="Heading"/>
      </w:pPr>
      <w:r>
        <w:rPr>
          <w:rtl w:val="0"/>
        </w:rPr>
        <w:t>Bibliografia</w:t>
      </w:r>
    </w:p>
    <w:p>
      <w:pPr>
        <w:pStyle w:val="Default"/>
        <w:shd w:val="clear" w:color="auto" w:fill="ffffff"/>
        <w:bidi w:val="0"/>
        <w:spacing w:line="100" w:lineRule="atLeast"/>
        <w:ind w:left="0" w:right="0" w:firstLine="0"/>
        <w:jc w:val="lef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Principal</w:t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rebuchet MS" w:cs="Trebuchet MS" w:hAnsi="Trebuchet MS" w:eastAsia="Trebuchet MS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sz w:val="24"/>
          <w:szCs w:val="24"/>
          <w:shd w:val="clear" w:color="auto" w:fill="ffffff"/>
          <w:rtl w:val="0"/>
          <w:lang w:val="da-DK"/>
        </w:rPr>
        <w:t>Tragtenberg, Livio.</w:t>
      </w:r>
      <w:r>
        <w:rPr>
          <w:rFonts w:ascii="Trebuchet MS" w:hAnsi="Trebuchet MS" w:hint="default"/>
          <w:sz w:val="24"/>
          <w:szCs w:val="24"/>
          <w:shd w:val="clear" w:color="auto" w:fill="ffffff"/>
          <w:rtl w:val="0"/>
        </w:rPr>
        <w:t> </w:t>
      </w:r>
      <w:r>
        <w:rPr>
          <w:rFonts w:ascii="Trebuchet MS" w:hAnsi="Trebuchet MS"/>
          <w:sz w:val="24"/>
          <w:szCs w:val="24"/>
          <w:shd w:val="clear" w:color="auto" w:fill="ffffff"/>
          <w:rtl w:val="0"/>
          <w:lang w:val="pt-PT"/>
        </w:rPr>
        <w:t>Contraponto: uma arte de compor. Sa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shd w:val="clear" w:color="auto" w:fill="ffffff"/>
          <w:rtl w:val="0"/>
        </w:rPr>
        <w:t>̃</w:t>
      </w:r>
      <w:r>
        <w:rPr>
          <w:rFonts w:ascii="Trebuchet MS" w:hAnsi="Trebuchet MS"/>
          <w:sz w:val="24"/>
          <w:szCs w:val="24"/>
          <w:shd w:val="clear" w:color="auto" w:fill="ffffff"/>
          <w:rtl w:val="0"/>
        </w:rPr>
        <w:t>o Paulo, SP, Brasil: Edusp, 2002.</w:t>
      </w: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Trebuchet MS" w:cs="Trebuchet MS" w:hAnsi="Trebuchet MS" w:eastAsia="Trebuchet MS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</w:pP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Calibri" w:cs="Calibri" w:hAnsi="Calibri" w:eastAsia="Calibri" w:hint="default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Curso de formas musicales : con numerosos ejemplos musicales. Barcelona: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Editorial Labor Espanha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,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1960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.</w:t>
      </w:r>
    </w:p>
    <w:p>
      <w:pPr>
        <w:pStyle w:val="Default"/>
        <w:shd w:val="clear" w:color="auto" w:fill="ffffff"/>
        <w:bidi w:val="0"/>
        <w:spacing w:line="100" w:lineRule="atLeast"/>
        <w:ind w:left="0" w:right="0" w:firstLine="0"/>
        <w:jc w:val="left"/>
        <w:rPr>
          <w:rFonts w:ascii="Calibri" w:cs="Calibri" w:hAnsi="Calibri" w:eastAsia="Calibri"/>
          <w:kern w:val="1"/>
          <w:sz w:val="24"/>
          <w:szCs w:val="24"/>
          <w:u w:color="000000"/>
          <w:rtl w:val="0"/>
          <w:lang w:val="pt-PT"/>
        </w:rPr>
      </w:pPr>
    </w:p>
    <w:p>
      <w:pPr>
        <w:pStyle w:val="Default"/>
        <w:shd w:val="clear" w:color="auto" w:fill="ffffff"/>
        <w:bidi w:val="0"/>
        <w:spacing w:line="100" w:lineRule="atLeast"/>
        <w:ind w:left="0" w:right="0" w:firstLine="0"/>
        <w:jc w:val="left"/>
        <w:rPr>
          <w:rFonts w:ascii="Trebuchet MS" w:cs="Trebuchet MS" w:hAnsi="Trebuchet MS" w:eastAsia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</w:pPr>
      <w:r>
        <w:rPr>
          <w:rFonts w:ascii="Trebuchet MS" w:hAnsi="Trebuchet MS"/>
          <w:i w:val="1"/>
          <w:iCs w:val="1"/>
          <w:kern w:val="1"/>
          <w:sz w:val="24"/>
          <w:szCs w:val="24"/>
          <w:u w:color="000000"/>
          <w:rtl w:val="0"/>
          <w:lang w:val="en-US"/>
        </w:rPr>
        <w:t>Auxiliar</w:t>
      </w:r>
    </w:p>
    <w:p>
      <w:pPr>
        <w:pStyle w:val="Body"/>
      </w:pPr>
      <w:r>
        <w:rPr>
          <w:rtl w:val="0"/>
          <w:lang w:val="en-US"/>
        </w:rPr>
        <w:t xml:space="preserve">Kostka, Stefan e Payne, Dorothy. </w:t>
      </w:r>
      <w:r>
        <w:rPr>
          <w:i w:val="1"/>
          <w:iCs w:val="1"/>
          <w:rtl w:val="0"/>
          <w:lang w:val="en-US"/>
        </w:rPr>
        <w:t>Tonal Harmony</w:t>
      </w:r>
      <w:r>
        <w:rPr>
          <w:rtl w:val="0"/>
          <w:lang w:val="en-US"/>
        </w:rPr>
        <w:t>. Nova York: Alfred A. Knopf, 1989.</w:t>
      </w:r>
    </w:p>
    <w:p>
      <w:pPr>
        <w:pStyle w:val="Body"/>
        <w:rPr>
          <w:lang w:val="en-US"/>
        </w:rPr>
      </w:pPr>
    </w:p>
    <w:p>
      <w:pPr>
        <w:pStyle w:val="Body"/>
      </w:pPr>
      <w:r>
        <w:rPr>
          <w:rtl w:val="0"/>
          <w:lang w:val="pt-PT"/>
        </w:rPr>
        <w:t>Partituras dispon</w:t>
      </w:r>
      <w:r>
        <w:rPr>
          <w:rtl w:val="0"/>
        </w:rPr>
        <w:t>í</w:t>
      </w:r>
      <w:r>
        <w:rPr>
          <w:rtl w:val="0"/>
        </w:rPr>
        <w:t>v</w:t>
      </w:r>
      <w:r>
        <w:rPr>
          <w:rtl w:val="0"/>
          <w:lang w:val="pt-PT"/>
        </w:rPr>
        <w:t>eis no IMSLP. Dispon</w:t>
      </w:r>
      <w:r>
        <w:rPr>
          <w:rtl w:val="0"/>
        </w:rPr>
        <w:t>í</w:t>
      </w:r>
      <w:r>
        <w:rPr>
          <w:rtl w:val="0"/>
          <w:lang w:val="pt-PT"/>
        </w:rPr>
        <w:t>vel em &lt;http://imslp.org&gt;. Acesso em 01 jan. 2016.</w:t>
      </w:r>
    </w:p>
    <w:p>
      <w:pPr>
        <w:pStyle w:val="Body"/>
      </w:pPr>
    </w:p>
    <w:p>
      <w:pPr>
        <w:pStyle w:val="Body"/>
      </w:pPr>
    </w:p>
    <w:tbl>
      <w:tblPr>
        <w:tblW w:w="548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875"/>
        <w:gridCol w:w="609"/>
      </w:tblGrid>
      <w:tr>
        <w:tblPrEx>
          <w:shd w:val="clear" w:color="auto" w:fill="d0ddef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Programa de componente curricular proposto na reuni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ã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40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Pedro Ribeiro Kroger Junior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jc w:val="center"/>
      </w:pP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40" w:lineRule="auto"/>
      <w:ind w:left="0" w:right="0" w:firstLine="0"/>
      <w:jc w:val="left"/>
      <w:outlineLvl w:val="0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pt-P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