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971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108"/>
        <w:gridCol w:w="190"/>
        <w:gridCol w:w="4898"/>
        <w:gridCol w:w="190"/>
        <w:gridCol w:w="3585"/>
      </w:tblGrid>
      <w:tr>
        <w:tblPrEx>
          <w:shd w:val="clear" w:color="auto" w:fill="d0ddef"/>
        </w:tblPrEx>
        <w:trPr>
          <w:trHeight w:val="1080" w:hRule="atLeast"/>
        </w:trPr>
        <w:tc>
          <w:tcPr>
            <w:tcW w:type="dxa" w:w="1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jc w:val="center"/>
            </w:pPr>
            <w:r>
              <w:rPr>
                <w:rFonts w:ascii="Times New Roman" w:hAnsi="Times New Roman"/>
                <w:lang w:val="en-US"/>
              </w:rPr>
              <w:drawing>
                <wp:inline distT="0" distB="0" distL="0" distR="0">
                  <wp:extent cx="498475" cy="548641"/>
                  <wp:effectExtent l="0" t="0" r="0" b="0"/>
                  <wp:docPr id="1073741825" name="officeArt object" descr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 descr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486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rPr>
                <w:b w:val="1"/>
                <w:bCs w:val="1"/>
                <w:spacing w:val="50"/>
                <w:sz w:val="22"/>
                <w:szCs w:val="22"/>
              </w:rPr>
            </w:pPr>
            <w:r>
              <w:rPr>
                <w:b w:val="1"/>
                <w:bCs w:val="1"/>
                <w:spacing w:val="50"/>
                <w:sz w:val="22"/>
                <w:szCs w:val="22"/>
                <w:rtl w:val="0"/>
                <w:lang w:val="pt-PT"/>
              </w:rPr>
              <w:t>UNIVERSIDADE FEDERAL DA BAHIA</w:t>
            </w:r>
          </w:p>
          <w:p>
            <w:pPr>
              <w:pStyle w:val="Body A"/>
              <w:bidi w:val="0"/>
              <w:ind w:left="0" w:right="0" w:firstLine="0"/>
              <w:jc w:val="center"/>
              <w:rPr>
                <w:b w:val="1"/>
                <w:bCs w:val="1"/>
                <w:spacing w:val="20"/>
                <w:sz w:val="22"/>
                <w:szCs w:val="22"/>
                <w:rtl w:val="0"/>
              </w:rPr>
            </w:pPr>
            <w:r>
              <w:rPr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Escola de M</w:t>
            </w:r>
            <w:r>
              <w:rPr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ú</w:t>
            </w:r>
            <w:r>
              <w:rPr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 xml:space="preserve">sica </w:t>
            </w:r>
          </w:p>
          <w:p>
            <w:pPr>
              <w:pStyle w:val="Body 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Departamento de M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ú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sica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rPr>
                <w:b w:val="1"/>
                <w:bCs w:val="1"/>
                <w:sz w:val="12"/>
                <w:szCs w:val="12"/>
                <w:lang w:val="pt-PT"/>
              </w:rPr>
            </w:pPr>
          </w:p>
          <w:p>
            <w:pPr>
              <w:pStyle w:val="Body A"/>
              <w:bidi w:val="0"/>
              <w:ind w:left="0" w:right="0" w:firstLine="0"/>
              <w:jc w:val="center"/>
              <w:rPr>
                <w:b w:val="1"/>
                <w:bCs w:val="1"/>
                <w:spacing w:val="20"/>
                <w:sz w:val="26"/>
                <w:szCs w:val="26"/>
                <w:rtl w:val="0"/>
              </w:rPr>
            </w:pPr>
            <w:r>
              <w:rPr>
                <w:b w:val="1"/>
                <w:bCs w:val="1"/>
                <w:spacing w:val="20"/>
                <w:sz w:val="26"/>
                <w:szCs w:val="26"/>
                <w:rtl w:val="0"/>
                <w:lang w:val="pt-PT"/>
              </w:rPr>
              <w:t>PROGRAMA DE COMPONENTE</w:t>
            </w:r>
          </w:p>
          <w:p>
            <w:pPr>
              <w:pStyle w:val="Body 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6"/>
                <w:szCs w:val="26"/>
                <w:rtl w:val="0"/>
                <w:lang w:val="pt-PT"/>
              </w:rPr>
              <w:t>CURRICULAR</w:t>
            </w:r>
          </w:p>
        </w:tc>
      </w:tr>
    </w:tbl>
    <w:p>
      <w:pPr>
        <w:pStyle w:val="Body"/>
        <w:widowControl w:val="0"/>
        <w:ind w:left="108" w:hanging="108"/>
        <w:jc w:val="center"/>
      </w:pPr>
    </w:p>
    <w:p>
      <w:pPr>
        <w:pStyle w:val="Body B"/>
        <w:widowControl w:val="0"/>
        <w:jc w:val="center"/>
      </w:pPr>
    </w:p>
    <w:p>
      <w:pPr>
        <w:pStyle w:val="Body A"/>
        <w:widowControl w:val="0"/>
        <w:jc w:val="center"/>
      </w:pPr>
    </w:p>
    <w:p>
      <w:pPr>
        <w:pStyle w:val="Body A"/>
        <w:rPr>
          <w:sz w:val="20"/>
          <w:szCs w:val="20"/>
        </w:rPr>
      </w:pPr>
    </w:p>
    <w:tbl>
      <w:tblPr>
        <w:tblW w:w="997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570"/>
        <w:gridCol w:w="190"/>
        <w:gridCol w:w="8214"/>
      </w:tblGrid>
      <w:tr>
        <w:tblPrEx>
          <w:shd w:val="clear" w:color="auto" w:fill="d0ddef"/>
        </w:tblPrEx>
        <w:trPr>
          <w:trHeight w:val="230" w:hRule="atLeast"/>
        </w:trPr>
        <w:tc>
          <w:tcPr>
            <w:tcW w:type="dxa" w:w="1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C</w:t>
            </w: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Ó</w:t>
            </w: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DIGO</w:t>
            </w:r>
          </w:p>
        </w:tc>
        <w:tc>
          <w:tcPr>
            <w:tcW w:type="dxa" w:w="19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before="40"/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16"/>
                <w:szCs w:val="16"/>
                <w:rtl w:val="0"/>
                <w:lang w:val="pt-PT"/>
              </w:rPr>
              <w:t>NOME</w:t>
            </w:r>
          </w:p>
        </w:tc>
      </w:tr>
      <w:tr>
        <w:tblPrEx>
          <w:shd w:val="clear" w:color="auto" w:fill="d0ddef"/>
        </w:tblPrEx>
        <w:trPr>
          <w:trHeight w:val="366" w:hRule="atLeast"/>
        </w:trPr>
        <w:tc>
          <w:tcPr>
            <w:tcW w:type="dxa" w:w="1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MUSA7</w:t>
            </w:r>
            <w:r>
              <w:rPr>
                <w:sz w:val="22"/>
                <w:szCs w:val="22"/>
                <w:rtl w:val="0"/>
                <w:lang w:val="en-US"/>
              </w:rPr>
              <w:t>4</w:t>
            </w:r>
          </w:p>
        </w:tc>
        <w:tc>
          <w:tcPr>
            <w:tcW w:type="dxa" w:w="19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8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before="160" w:after="160"/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Literatura e Estrutura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çã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o Musical V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en-US"/>
              </w:rPr>
              <w:t>I</w:t>
            </w:r>
          </w:p>
        </w:tc>
      </w:tr>
    </w:tbl>
    <w:p>
      <w:pPr>
        <w:pStyle w:val="Body A"/>
        <w:widowControl w:val="0"/>
        <w:ind w:left="108" w:hanging="108"/>
        <w:jc w:val="center"/>
        <w:rPr>
          <w:sz w:val="20"/>
          <w:szCs w:val="20"/>
        </w:rPr>
      </w:pPr>
    </w:p>
    <w:p>
      <w:pPr>
        <w:pStyle w:val="Body A"/>
        <w:widowControl w:val="0"/>
        <w:jc w:val="center"/>
        <w:rPr>
          <w:sz w:val="20"/>
          <w:szCs w:val="20"/>
        </w:rPr>
      </w:pPr>
    </w:p>
    <w:p>
      <w:pPr>
        <w:pStyle w:val="Body A"/>
        <w:widowControl w:val="0"/>
        <w:jc w:val="center"/>
        <w:rPr>
          <w:sz w:val="20"/>
          <w:szCs w:val="20"/>
        </w:rPr>
      </w:pPr>
    </w:p>
    <w:p>
      <w:pPr>
        <w:pStyle w:val="Body A"/>
        <w:rPr>
          <w:sz w:val="16"/>
          <w:szCs w:val="16"/>
        </w:rPr>
      </w:pPr>
    </w:p>
    <w:tbl>
      <w:tblPr>
        <w:tblW w:w="991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>
        <w:tblPrEx>
          <w:shd w:val="clear" w:color="auto" w:fill="d0ddef"/>
        </w:tblPrEx>
        <w:trPr>
          <w:trHeight w:val="485" w:hRule="atLeast"/>
        </w:trPr>
        <w:tc>
          <w:tcPr>
            <w:tcW w:type="dxa" w:w="261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CARGA HOR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Á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RIA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4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M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Ó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DULO</w:t>
            </w:r>
          </w:p>
        </w:tc>
        <w:tc>
          <w:tcPr>
            <w:tcW w:type="dxa" w:w="28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CURSO(S)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ANO VIGENTE</w:t>
            </w:r>
            <w:r>
              <w:rPr>
                <w:sz w:val="22"/>
                <w:szCs w:val="22"/>
                <w:rtl w:val="0"/>
                <w:lang w:val="pt-PT"/>
              </w:rPr>
              <w:t xml:space="preserve"> </w:t>
            </w:r>
          </w:p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T</w:t>
            </w:r>
          </w:p>
        </w:tc>
        <w:tc>
          <w:tcPr>
            <w:tcW w:type="dxa" w:w="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P</w:t>
            </w:r>
          </w:p>
        </w:tc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E</w:t>
            </w:r>
          </w:p>
        </w:tc>
        <w:tc>
          <w:tcPr>
            <w:tcW w:type="dxa" w:w="7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TOTAL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T</w:t>
            </w:r>
          </w:p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P</w:t>
            </w:r>
          </w:p>
        </w:tc>
        <w:tc>
          <w:tcPr>
            <w:tcW w:type="dxa" w:w="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E</w:t>
            </w:r>
          </w:p>
        </w:tc>
        <w:tc>
          <w:tcPr>
            <w:tcW w:type="dxa" w:w="280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Gradua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çã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o</w:t>
            </w:r>
          </w:p>
        </w:tc>
        <w:tc>
          <w:tcPr>
            <w:tcW w:type="dxa" w:w="190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3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2009.1</w:t>
            </w:r>
          </w:p>
        </w:tc>
      </w:tr>
      <w:tr>
        <w:tblPrEx>
          <w:shd w:val="clear" w:color="auto" w:fill="d0ddef"/>
        </w:tblPrEx>
        <w:trPr>
          <w:trHeight w:val="481" w:hRule="atLeast"/>
        </w:trPr>
        <w:tc>
          <w:tcPr>
            <w:tcW w:type="dxa" w:w="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34</w:t>
            </w:r>
          </w:p>
        </w:tc>
        <w:tc>
          <w:tcPr>
            <w:tcW w:type="dxa" w:w="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34</w:t>
            </w:r>
          </w:p>
        </w:tc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68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15</w:t>
            </w:r>
          </w:p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0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6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0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3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Body A"/>
        <w:widowControl w:val="0"/>
        <w:ind w:left="108" w:hanging="108"/>
        <w:jc w:val="center"/>
        <w:rPr>
          <w:sz w:val="16"/>
          <w:szCs w:val="16"/>
        </w:rPr>
      </w:pPr>
    </w:p>
    <w:p>
      <w:pPr>
        <w:pStyle w:val="Body A"/>
        <w:widowControl w:val="0"/>
        <w:jc w:val="center"/>
        <w:rPr>
          <w:sz w:val="16"/>
          <w:szCs w:val="16"/>
        </w:rPr>
      </w:pPr>
    </w:p>
    <w:p>
      <w:pPr>
        <w:pStyle w:val="Body A"/>
        <w:widowControl w:val="0"/>
        <w:jc w:val="center"/>
        <w:rPr>
          <w:sz w:val="16"/>
          <w:szCs w:val="16"/>
        </w:rPr>
      </w:pPr>
    </w:p>
    <w:p>
      <w:pPr>
        <w:pStyle w:val="Body A"/>
        <w:rPr>
          <w:sz w:val="2"/>
          <w:szCs w:val="2"/>
        </w:rPr>
      </w:pPr>
    </w:p>
    <w:p>
      <w:pPr>
        <w:pStyle w:val="Body A"/>
        <w:rPr>
          <w:sz w:val="2"/>
          <w:szCs w:val="2"/>
        </w:rPr>
      </w:pPr>
    </w:p>
    <w:p>
      <w:pPr>
        <w:pStyle w:val="Body A"/>
        <w:rPr>
          <w:sz w:val="2"/>
          <w:szCs w:val="2"/>
        </w:rPr>
      </w:pPr>
    </w:p>
    <w:p>
      <w:pPr>
        <w:pStyle w:val="Body A"/>
      </w:pPr>
    </w:p>
    <w:p>
      <w:pPr>
        <w:pStyle w:val="Heading"/>
      </w:pPr>
      <w:r>
        <w:rPr>
          <w:rtl w:val="0"/>
        </w:rPr>
        <w:t>Ementa</w:t>
      </w:r>
    </w:p>
    <w:p>
      <w:pPr>
        <w:pStyle w:val="Body A"/>
        <w:rPr>
          <w:lang w:val="it-IT"/>
        </w:rPr>
      </w:pPr>
      <w:r>
        <w:rPr>
          <w:rtl w:val="0"/>
          <w:lang w:val="en-US"/>
        </w:rPr>
        <w:t>N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2 do estudo do contraponto tonal, seus g</w:t>
      </w:r>
      <w:r>
        <w:rPr>
          <w:rtl w:val="0"/>
          <w:lang w:val="fr-FR"/>
        </w:rPr>
        <w:t>ê</w:t>
      </w:r>
      <w:r>
        <w:rPr>
          <w:rtl w:val="0"/>
          <w:lang w:val="pt-PT"/>
        </w:rPr>
        <w:t>neros e procedimentos composicionais caracter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sticos. Aprecia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obras musicais referentes aos elementos estudados. Continua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Literatura e Estrutura</w:t>
      </w:r>
      <w:r>
        <w:rPr>
          <w:rtl w:val="0"/>
          <w:lang w:val="pt-PT"/>
        </w:rPr>
        <w:t>çã</w:t>
      </w:r>
      <w:r>
        <w:rPr>
          <w:rtl w:val="0"/>
          <w:lang w:val="it-IT"/>
        </w:rPr>
        <w:t>o Musical V</w:t>
      </w:r>
    </w:p>
    <w:p>
      <w:pPr>
        <w:pStyle w:val="Heading"/>
      </w:pPr>
      <w:r>
        <w:rPr>
          <w:rtl w:val="0"/>
        </w:rPr>
        <w:t>Objetivos</w:t>
      </w:r>
    </w:p>
    <w:p>
      <w:pPr>
        <w:pStyle w:val="Body A"/>
      </w:pPr>
      <w:r>
        <w:rPr>
          <w:rtl w:val="0"/>
          <w:lang w:val="pt-PT"/>
        </w:rPr>
        <w:t>Oferecer aos alunos uma vis</w:t>
      </w:r>
      <w:r>
        <w:rPr>
          <w:rtl w:val="0"/>
          <w:lang w:val="pt-PT"/>
        </w:rPr>
        <w:t>ã</w:t>
      </w:r>
      <w:r>
        <w:rPr>
          <w:rtl w:val="0"/>
          <w:lang w:val="it-IT"/>
        </w:rPr>
        <w:t>o anal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tico-pr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tica das constru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 contrapont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sticas tonais, bem como um estudo das estruturas internas da Fuga.</w:t>
      </w:r>
    </w:p>
    <w:p>
      <w:pPr>
        <w:pStyle w:val="Heading"/>
      </w:pPr>
      <w:r>
        <w:rPr>
          <w:rtl w:val="0"/>
          <w:lang w:val="it-IT"/>
        </w:rPr>
        <w:t>Conte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dos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Contraponto harm</w:t>
      </w:r>
      <w:r>
        <w:rPr>
          <w:rtl w:val="0"/>
          <w:lang w:val="pt-PT"/>
        </w:rPr>
        <w:t>ô</w:t>
      </w:r>
      <w:r>
        <w:rPr>
          <w:rtl w:val="0"/>
          <w:lang w:val="pt-PT"/>
        </w:rPr>
        <w:t>nico: revis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de harmonia, coral luterano.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O prel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dio coral: figura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mel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dica, varia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es.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Varia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es. Passacaglia, chacona.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O coral-partita</w:t>
      </w:r>
      <w:r>
        <w:rPr>
          <w:rtl w:val="0"/>
          <w:lang w:val="en-US"/>
        </w:rPr>
        <w:t>.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Inven</w:t>
      </w:r>
      <w:r>
        <w:rPr>
          <w:rtl w:val="0"/>
          <w:lang w:val="pt-PT"/>
        </w:rPr>
        <w:t>ç</w:t>
      </w:r>
      <w:r>
        <w:rPr>
          <w:rtl w:val="0"/>
          <w:lang w:val="en-US"/>
        </w:rPr>
        <w:t>ã</w:t>
      </w:r>
      <w:r>
        <w:rPr>
          <w:rtl w:val="0"/>
          <w:lang w:val="en-US"/>
        </w:rPr>
        <w:t>o</w:t>
      </w:r>
      <w:r>
        <w:rPr>
          <w:rtl w:val="0"/>
          <w:lang w:val="pt-PT"/>
        </w:rPr>
        <w:t xml:space="preserve"> a 2 e 3 vozes.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Introdu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ao contraponto invers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vel</w:t>
      </w:r>
      <w:r>
        <w:rPr>
          <w:rtl w:val="0"/>
          <w:lang w:val="en-US"/>
        </w:rPr>
        <w:t>.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 xml:space="preserve">A </w:t>
      </w:r>
      <w:r>
        <w:rPr>
          <w:rtl w:val="0"/>
          <w:lang w:val="en-US"/>
        </w:rPr>
        <w:t>Fuga. F</w:t>
      </w:r>
      <w:r>
        <w:rPr>
          <w:rtl w:val="0"/>
          <w:lang w:val="pt-PT"/>
        </w:rPr>
        <w:t>uga dupla, tripla, e qu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drupla</w:t>
      </w:r>
    </w:p>
    <w:p>
      <w:pPr>
        <w:pStyle w:val="Heading"/>
      </w:pPr>
      <w:r>
        <w:rPr>
          <w:rtl w:val="0"/>
        </w:rPr>
        <w:t>Metodologia</w:t>
      </w:r>
    </w:p>
    <w:p>
      <w:pPr>
        <w:pStyle w:val="Body A"/>
      </w:pPr>
      <w:r>
        <w:rPr>
          <w:rtl w:val="0"/>
          <w:lang w:val="pt-PT"/>
        </w:rPr>
        <w:t>Aulas te</w:t>
      </w:r>
      <w:r>
        <w:rPr>
          <w:rtl w:val="0"/>
          <w:lang w:val="es-ES_tradnl"/>
        </w:rPr>
        <w:t>ó</w:t>
      </w:r>
      <w:r>
        <w:rPr>
          <w:rtl w:val="0"/>
          <w:lang w:val="it-IT"/>
        </w:rPr>
        <w:t>rico-pr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ticas</w:t>
      </w:r>
    </w:p>
    <w:p>
      <w:pPr>
        <w:pStyle w:val="Heading"/>
      </w:pPr>
      <w:r>
        <w:rPr>
          <w:rtl w:val="0"/>
        </w:rPr>
        <w:t>Avalia</w:t>
      </w:r>
      <w:r>
        <w:rPr>
          <w:rtl w:val="0"/>
        </w:rPr>
        <w:t>çã</w:t>
      </w:r>
      <w:r>
        <w:rPr>
          <w:rtl w:val="0"/>
        </w:rPr>
        <w:t>o</w:t>
      </w:r>
    </w:p>
    <w:p>
      <w:pPr>
        <w:pStyle w:val="Body A"/>
      </w:pPr>
      <w:r>
        <w:rPr>
          <w:rtl w:val="0"/>
          <w:lang w:val="pt-PT"/>
        </w:rPr>
        <w:t>Provas</w:t>
      </w:r>
      <w:r>
        <w:rPr>
          <w:rtl w:val="0"/>
          <w:lang w:val="en-US"/>
        </w:rPr>
        <w:t xml:space="preserve"> e/ou trabalhos pr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ticos</w:t>
      </w:r>
    </w:p>
    <w:p>
      <w:pPr>
        <w:pStyle w:val="Heading"/>
      </w:pPr>
      <w:r>
        <w:rPr>
          <w:rtl w:val="0"/>
        </w:rPr>
        <w:t>Bibliografia</w:t>
      </w:r>
    </w:p>
    <w:p>
      <w:pPr>
        <w:pStyle w:val="Default"/>
        <w:shd w:val="clear" w:color="auto" w:fill="ffffff"/>
        <w:spacing w:line="100" w:lineRule="atLeast"/>
        <w:rPr>
          <w:rFonts w:ascii="Trebuchet MS" w:cs="Trebuchet MS" w:hAnsi="Trebuchet MS" w:eastAsia="Trebuchet MS"/>
          <w:i w:val="1"/>
          <w:iCs w:val="1"/>
          <w:kern w:val="1"/>
          <w:sz w:val="24"/>
          <w:szCs w:val="24"/>
          <w:u w:color="000000"/>
        </w:rPr>
      </w:pPr>
      <w:r>
        <w:rPr>
          <w:rFonts w:ascii="Trebuchet MS" w:hAnsi="Trebuchet MS"/>
          <w:i w:val="1"/>
          <w:iCs w:val="1"/>
          <w:kern w:val="1"/>
          <w:sz w:val="24"/>
          <w:szCs w:val="24"/>
          <w:u w:color="000000"/>
          <w:rtl w:val="0"/>
          <w:lang w:val="en-US"/>
        </w:rPr>
        <w:t>Principal</w:t>
      </w:r>
    </w:p>
    <w:p>
      <w:pPr>
        <w:pStyle w:val="Default"/>
        <w:spacing w:line="300" w:lineRule="atLeast"/>
        <w:rPr>
          <w:rFonts w:ascii="Trebuchet MS" w:cs="Trebuchet MS" w:hAnsi="Trebuchet MS" w:eastAsia="Trebuchet MS"/>
          <w:sz w:val="24"/>
          <w:szCs w:val="24"/>
          <w:shd w:val="clear" w:color="auto" w:fill="ffffff"/>
        </w:rPr>
      </w:pPr>
      <w:r>
        <w:rPr>
          <w:rFonts w:ascii="Trebuchet MS" w:hAnsi="Trebuchet MS"/>
          <w:sz w:val="24"/>
          <w:szCs w:val="24"/>
          <w:shd w:val="clear" w:color="auto" w:fill="ffffff"/>
          <w:rtl w:val="0"/>
          <w:lang w:val="da-DK"/>
        </w:rPr>
        <w:t>Tragtenberg, Livio.</w:t>
      </w:r>
      <w:r>
        <w:rPr>
          <w:rFonts w:ascii="Trebuchet MS" w:hAnsi="Trebuchet MS" w:hint="default"/>
          <w:sz w:val="24"/>
          <w:szCs w:val="24"/>
          <w:shd w:val="clear" w:color="auto" w:fill="ffffff"/>
          <w:rtl w:val="0"/>
          <w:lang w:val="en-US"/>
        </w:rPr>
        <w:t> </w:t>
      </w:r>
      <w:r>
        <w:rPr>
          <w:rFonts w:ascii="Trebuchet MS" w:hAnsi="Trebuchet MS"/>
          <w:sz w:val="24"/>
          <w:szCs w:val="24"/>
          <w:shd w:val="clear" w:color="auto" w:fill="ffffff"/>
          <w:rtl w:val="0"/>
          <w:lang w:val="pt-PT"/>
        </w:rPr>
        <w:t>Contraponto: uma arte de compor. Sa</w:t>
      </w:r>
      <w:r>
        <w:rPr>
          <w:rFonts w:ascii="Arial Unicode MS" w:hAnsi="Arial Unicode MS" w:hint="default"/>
          <w:sz w:val="24"/>
          <w:szCs w:val="24"/>
          <w:shd w:val="clear" w:color="auto" w:fill="ffffff"/>
          <w:rtl w:val="0"/>
          <w:lang w:val="en-US"/>
        </w:rPr>
        <w:t>̃</w:t>
      </w:r>
      <w:r>
        <w:rPr>
          <w:rFonts w:ascii="Trebuchet MS" w:hAnsi="Trebuchet MS"/>
          <w:sz w:val="24"/>
          <w:szCs w:val="24"/>
          <w:shd w:val="clear" w:color="auto" w:fill="ffffff"/>
          <w:rtl w:val="0"/>
          <w:lang w:val="en-US"/>
        </w:rPr>
        <w:t>o Paulo, SP, Brasil: Edusp, 2002.</w:t>
      </w:r>
    </w:p>
    <w:p>
      <w:pPr>
        <w:pStyle w:val="Default"/>
        <w:spacing w:line="300" w:lineRule="atLeast"/>
        <w:rPr>
          <w:rFonts w:ascii="Trebuchet MS" w:cs="Trebuchet MS" w:hAnsi="Trebuchet MS" w:eastAsia="Trebuchet MS"/>
          <w:sz w:val="24"/>
          <w:szCs w:val="24"/>
          <w:shd w:val="clear" w:color="auto" w:fill="ffffff"/>
        </w:rPr>
      </w:pPr>
    </w:p>
    <w:p>
      <w:pPr>
        <w:pStyle w:val="Default"/>
        <w:spacing w:line="300" w:lineRule="atLeast"/>
        <w:rPr>
          <w:rFonts w:ascii="Calibri" w:cs="Calibri" w:hAnsi="Calibri" w:eastAsia="Calibri"/>
          <w:sz w:val="24"/>
          <w:szCs w:val="24"/>
          <w:shd w:val="clear" w:color="auto" w:fill="ffffff"/>
          <w:lang w:val="pt-PT"/>
        </w:rPr>
      </w:pP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Zamacois, Joaquim.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 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Curso de formas musicales : con numerosos ejemplos musicales. Barcelona: Editorial Labor Espanha, 1960.</w:t>
      </w:r>
    </w:p>
    <w:p>
      <w:pPr>
        <w:pStyle w:val="Default"/>
        <w:shd w:val="clear" w:color="auto" w:fill="ffffff"/>
        <w:spacing w:line="100" w:lineRule="atLeast"/>
        <w:rPr>
          <w:rFonts w:ascii="Calibri" w:cs="Calibri" w:hAnsi="Calibri" w:eastAsia="Calibri"/>
          <w:kern w:val="1"/>
          <w:sz w:val="24"/>
          <w:szCs w:val="24"/>
          <w:u w:color="000000"/>
          <w:lang w:val="pt-PT"/>
        </w:rPr>
      </w:pPr>
    </w:p>
    <w:p>
      <w:pPr>
        <w:pStyle w:val="Default"/>
        <w:shd w:val="clear" w:color="auto" w:fill="ffffff"/>
        <w:spacing w:line="100" w:lineRule="atLeast"/>
        <w:rPr>
          <w:rFonts w:ascii="Trebuchet MS" w:cs="Trebuchet MS" w:hAnsi="Trebuchet MS" w:eastAsia="Trebuchet MS"/>
          <w:i w:val="1"/>
          <w:iCs w:val="1"/>
          <w:kern w:val="1"/>
          <w:sz w:val="24"/>
          <w:szCs w:val="24"/>
          <w:u w:color="000000"/>
        </w:rPr>
      </w:pPr>
      <w:r>
        <w:rPr>
          <w:rFonts w:ascii="Trebuchet MS" w:hAnsi="Trebuchet MS"/>
          <w:i w:val="1"/>
          <w:iCs w:val="1"/>
          <w:kern w:val="1"/>
          <w:sz w:val="24"/>
          <w:szCs w:val="24"/>
          <w:u w:color="000000"/>
          <w:rtl w:val="0"/>
          <w:lang w:val="en-US"/>
        </w:rPr>
        <w:t>Auxiliar</w:t>
      </w:r>
    </w:p>
    <w:p>
      <w:pPr>
        <w:pStyle w:val="Body A"/>
      </w:pPr>
      <w:r>
        <w:rPr>
          <w:rtl w:val="0"/>
          <w:lang w:val="en-US"/>
        </w:rPr>
        <w:t xml:space="preserve">Green, Douglass. </w:t>
      </w:r>
      <w:r>
        <w:rPr>
          <w:rFonts w:ascii="Calibri" w:cs="Calibri" w:hAnsi="Calibri" w:eastAsia="Calibri"/>
          <w:i w:val="1"/>
          <w:iCs w:val="1"/>
          <w:rtl w:val="0"/>
          <w:lang w:val="de-DE"/>
        </w:rPr>
        <w:t>Form in Tonal Music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: An Introduction to Analysis</w:t>
      </w:r>
      <w:r>
        <w:rPr>
          <w:rtl w:val="0"/>
          <w:lang w:val="en-US"/>
        </w:rPr>
        <w:t>. Chicago: Halt, Rinehart &amp; Winston, 1979.</w:t>
      </w:r>
    </w:p>
    <w:p>
      <w:pPr>
        <w:pStyle w:val="Body A"/>
      </w:pPr>
    </w:p>
    <w:p>
      <w:pPr>
        <w:pStyle w:val="Body A"/>
      </w:pPr>
      <w:r>
        <w:rPr>
          <w:rtl w:val="0"/>
        </w:rPr>
        <w:t xml:space="preserve">Kostka, Stefan e Payne, Dorothy.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Tonal Harmony</w:t>
      </w:r>
      <w:r>
        <w:rPr>
          <w:rtl w:val="0"/>
        </w:rPr>
        <w:t>. Nova York: Alfred A. Knopf, 1989.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Rosen, Charles. </w:t>
      </w:r>
      <w:r>
        <w:rPr>
          <w:rFonts w:ascii="Calibri" w:cs="Calibri" w:hAnsi="Calibri" w:eastAsia="Calibri"/>
          <w:i w:val="1"/>
          <w:iCs w:val="1"/>
          <w:rtl w:val="0"/>
          <w:lang w:val="it-IT"/>
        </w:rPr>
        <w:t>Sonata Forms</w:t>
      </w:r>
      <w:r>
        <w:rPr>
          <w:rtl w:val="0"/>
          <w:lang w:val="en-US"/>
        </w:rPr>
        <w:t>. New York: W. W. Norton, 1985. [Edi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revista, 1988.]</w:t>
      </w:r>
    </w:p>
    <w:p>
      <w:pPr>
        <w:pStyle w:val="Body A"/>
      </w:pPr>
    </w:p>
    <w:p>
      <w:pPr>
        <w:pStyle w:val="Body A"/>
      </w:pPr>
      <w:r>
        <w:rPr>
          <w:rtl w:val="0"/>
          <w:lang w:val="pt-PT"/>
        </w:rPr>
        <w:t>Partituras dispon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veis no IMSLP. Dispon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em &lt;http://imslp.org&gt;. Acesso em 01 jan. 2016.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tbl>
      <w:tblPr>
        <w:tblW w:w="548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875"/>
        <w:gridCol w:w="609"/>
      </w:tblGrid>
      <w:tr>
        <w:tblPrEx>
          <w:shd w:val="clear" w:color="auto" w:fill="d0ddef"/>
        </w:tblPrEx>
        <w:trPr>
          <w:trHeight w:val="613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jc w:val="center"/>
            </w:pPr>
            <w:r>
              <w:rPr>
                <w:sz w:val="20"/>
                <w:szCs w:val="20"/>
                <w:rtl w:val="0"/>
                <w:lang w:val="pt-PT"/>
              </w:rPr>
              <w:t>Programa de componente curricular proposto na reuni</w:t>
            </w:r>
            <w:r>
              <w:rPr>
                <w:sz w:val="20"/>
                <w:szCs w:val="20"/>
                <w:rtl w:val="0"/>
                <w:lang w:val="pt-PT"/>
              </w:rPr>
              <w:t>ã</w:t>
            </w:r>
            <w:r>
              <w:rPr>
                <w:sz w:val="20"/>
                <w:szCs w:val="20"/>
                <w:rtl w:val="0"/>
                <w:lang w:val="pt-PT"/>
              </w:rPr>
              <w:t>o do Departamento, em 12/08/2016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532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jc w:val="center"/>
              <w:rPr>
                <w:sz w:val="20"/>
                <w:szCs w:val="20"/>
              </w:rPr>
            </w:pPr>
          </w:p>
          <w:p>
            <w:pPr>
              <w:pStyle w:val="Body B"/>
              <w:jc w:val="center"/>
              <w:rPr>
                <w:sz w:val="20"/>
                <w:szCs w:val="20"/>
              </w:rPr>
            </w:pPr>
          </w:p>
          <w:p>
            <w:pPr>
              <w:pStyle w:val="Body B"/>
              <w:jc w:val="center"/>
              <w:rPr>
                <w:sz w:val="20"/>
                <w:szCs w:val="20"/>
              </w:rPr>
            </w:pPr>
          </w:p>
          <w:p>
            <w:pPr>
              <w:pStyle w:val="Body B"/>
              <w:jc w:val="center"/>
              <w:rPr>
                <w:sz w:val="20"/>
                <w:szCs w:val="20"/>
              </w:rPr>
            </w:pPr>
          </w:p>
          <w:p>
            <w:pPr>
              <w:pStyle w:val="Body B"/>
              <w:bidi w:val="0"/>
              <w:ind w:left="0" w:right="0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  <w:lang w:val="pt-PT"/>
              </w:rPr>
              <w:t>Pedro Ribeiro Kroger Junior</w:t>
            </w:r>
          </w:p>
          <w:p>
            <w:pPr>
              <w:pStyle w:val="Body B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rtl w:val="0"/>
                <w:lang w:val="pt-PT"/>
              </w:rPr>
              <w:t>Chefe do Departamento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"/>
        <w:widowControl w:val="0"/>
        <w:ind w:left="108" w:hanging="108"/>
        <w:jc w:val="center"/>
      </w:pPr>
      <w:r/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Heading">
    <w:name w:val="Heading"/>
    <w:next w:val="Body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60" w:after="120" w:line="240" w:lineRule="auto"/>
      <w:ind w:left="0" w:right="0" w:firstLine="0"/>
      <w:jc w:val="left"/>
      <w:outlineLvl w:val="0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pt-PT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pt-PT"/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