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71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108"/>
        <w:gridCol w:w="190"/>
        <w:gridCol w:w="4898"/>
        <w:gridCol w:w="190"/>
        <w:gridCol w:w="3585"/>
      </w:tblGrid>
      <w:tr>
        <w:tblPrEx>
          <w:shd w:val="clear" w:color="auto" w:fill="d0ddef"/>
        </w:tblPrEx>
        <w:trPr>
          <w:trHeight w:val="1080" w:hRule="atLeast"/>
        </w:trPr>
        <w:tc>
          <w:tcPr>
            <w:tcW w:type="dxa" w:w="1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jc w:val="center"/>
            </w:pPr>
            <w:r>
              <w:rPr>
                <w:rFonts w:ascii="Times New Roman" w:hAnsi="Times New Roman"/>
                <w:lang w:val="en-US"/>
              </w:rPr>
              <w:drawing>
                <wp:inline distT="0" distB="0" distL="0" distR="0">
                  <wp:extent cx="498475" cy="548641"/>
                  <wp:effectExtent l="0" t="0" r="0" b="0"/>
                  <wp:docPr id="1073741825" name="officeArt object" descr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rPr>
                <w:b w:val="1"/>
                <w:bCs w:val="1"/>
                <w:spacing w:val="50"/>
                <w:sz w:val="22"/>
                <w:szCs w:val="22"/>
              </w:rPr>
            </w:pPr>
            <w:r>
              <w:rPr>
                <w:b w:val="1"/>
                <w:bCs w:val="1"/>
                <w:spacing w:val="50"/>
                <w:sz w:val="22"/>
                <w:szCs w:val="22"/>
                <w:rtl w:val="0"/>
                <w:lang w:val="pt-PT"/>
              </w:rPr>
              <w:t>UNIVERSIDADE FEDERAL DA BAHIA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b w:val="1"/>
                <w:bCs w:val="1"/>
                <w:spacing w:val="20"/>
                <w:sz w:val="22"/>
                <w:szCs w:val="22"/>
                <w:rtl w:val="0"/>
              </w:rPr>
            </w:pPr>
            <w:r>
              <w:rPr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Escola de M</w:t>
            </w:r>
            <w:r>
              <w:rPr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ú</w:t>
            </w:r>
            <w:r>
              <w:rPr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 xml:space="preserve">sica 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Departamento de M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sica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b w:val="1"/>
                <w:bCs w:val="1"/>
                <w:sz w:val="12"/>
                <w:szCs w:val="12"/>
                <w:lang w:val="pt-PT"/>
              </w:rPr>
            </w:pPr>
          </w:p>
          <w:p>
            <w:pPr>
              <w:pStyle w:val="Body A"/>
              <w:bidi w:val="0"/>
              <w:ind w:left="0" w:right="0" w:firstLine="0"/>
              <w:jc w:val="center"/>
              <w:rPr>
                <w:b w:val="1"/>
                <w:bCs w:val="1"/>
                <w:spacing w:val="20"/>
                <w:sz w:val="26"/>
                <w:szCs w:val="26"/>
                <w:rtl w:val="0"/>
              </w:rPr>
            </w:pPr>
            <w:r>
              <w:rPr>
                <w:b w:val="1"/>
                <w:bCs w:val="1"/>
                <w:spacing w:val="20"/>
                <w:sz w:val="26"/>
                <w:szCs w:val="26"/>
                <w:rtl w:val="0"/>
                <w:lang w:val="pt-PT"/>
              </w:rPr>
              <w:t>PROGRAMA DE COMPONENTE</w:t>
            </w:r>
          </w:p>
          <w:p>
            <w:pPr>
              <w:pStyle w:val="Body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6"/>
                <w:szCs w:val="26"/>
                <w:rtl w:val="0"/>
                <w:lang w:val="pt-PT"/>
              </w:rPr>
              <w:t>CURRICULAR</w:t>
            </w:r>
          </w:p>
        </w:tc>
      </w:tr>
    </w:tbl>
    <w:p>
      <w:pPr>
        <w:pStyle w:val="Body"/>
        <w:widowControl w:val="0"/>
        <w:ind w:left="108" w:hanging="108"/>
        <w:jc w:val="center"/>
      </w:pPr>
    </w:p>
    <w:p>
      <w:pPr>
        <w:pStyle w:val="Body B"/>
        <w:widowControl w:val="0"/>
        <w:jc w:val="center"/>
      </w:pPr>
    </w:p>
    <w:p>
      <w:pPr>
        <w:pStyle w:val="Body A"/>
        <w:widowControl w:val="0"/>
        <w:jc w:val="center"/>
      </w:pPr>
    </w:p>
    <w:p>
      <w:pPr>
        <w:pStyle w:val="Body A"/>
        <w:rPr>
          <w:sz w:val="20"/>
          <w:szCs w:val="20"/>
        </w:rPr>
      </w:pPr>
    </w:p>
    <w:tbl>
      <w:tblPr>
        <w:tblW w:w="997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570"/>
        <w:gridCol w:w="190"/>
        <w:gridCol w:w="8214"/>
      </w:tblGrid>
      <w:tr>
        <w:tblPrEx>
          <w:shd w:val="clear" w:color="auto" w:fill="d0ddef"/>
        </w:tblPrEx>
        <w:trPr>
          <w:trHeight w:val="230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C</w:t>
            </w: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DIGO</w:t>
            </w:r>
          </w:p>
        </w:tc>
        <w:tc>
          <w:tcPr>
            <w:tcW w:type="dxa" w:w="1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40"/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16"/>
                <w:szCs w:val="16"/>
                <w:rtl w:val="0"/>
                <w:lang w:val="pt-PT"/>
              </w:rPr>
              <w:t>NOME</w:t>
            </w:r>
          </w:p>
        </w:tc>
      </w:tr>
      <w:tr>
        <w:tblPrEx>
          <w:shd w:val="clear" w:color="auto" w:fill="d0ddef"/>
        </w:tblPrEx>
        <w:trPr>
          <w:trHeight w:val="366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MUSA7</w:t>
            </w:r>
            <w:r>
              <w:rPr>
                <w:sz w:val="22"/>
                <w:szCs w:val="22"/>
                <w:rtl w:val="0"/>
                <w:lang w:val="en-US"/>
              </w:rPr>
              <w:t>3</w:t>
            </w:r>
          </w:p>
        </w:tc>
        <w:tc>
          <w:tcPr>
            <w:tcW w:type="dxa" w:w="1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160" w:after="160"/>
            </w:pP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Literatura e Estrutura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spacing w:val="20"/>
                <w:sz w:val="22"/>
                <w:szCs w:val="22"/>
                <w:rtl w:val="0"/>
                <w:lang w:val="pt-PT"/>
              </w:rPr>
              <w:t>o Musical V</w:t>
            </w:r>
          </w:p>
        </w:tc>
      </w:tr>
    </w:tbl>
    <w:p>
      <w:pPr>
        <w:pStyle w:val="Body A"/>
        <w:widowControl w:val="0"/>
        <w:ind w:left="108" w:hanging="108"/>
        <w:jc w:val="center"/>
        <w:rPr>
          <w:sz w:val="20"/>
          <w:szCs w:val="20"/>
        </w:rPr>
      </w:pPr>
    </w:p>
    <w:p>
      <w:pPr>
        <w:pStyle w:val="Body A"/>
        <w:widowControl w:val="0"/>
        <w:jc w:val="center"/>
        <w:rPr>
          <w:sz w:val="20"/>
          <w:szCs w:val="20"/>
        </w:rPr>
      </w:pPr>
    </w:p>
    <w:p>
      <w:pPr>
        <w:pStyle w:val="Body A"/>
        <w:widowControl w:val="0"/>
        <w:jc w:val="center"/>
        <w:rPr>
          <w:sz w:val="20"/>
          <w:szCs w:val="20"/>
        </w:rPr>
      </w:pPr>
    </w:p>
    <w:p>
      <w:pPr>
        <w:pStyle w:val="Body A"/>
        <w:rPr>
          <w:sz w:val="16"/>
          <w:szCs w:val="16"/>
        </w:rPr>
      </w:pPr>
    </w:p>
    <w:tbl>
      <w:tblPr>
        <w:tblW w:w="991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>
        <w:tblPrEx>
          <w:shd w:val="clear" w:color="auto" w:fill="d0ddef"/>
        </w:tblPrEx>
        <w:trPr>
          <w:trHeight w:val="485" w:hRule="atLeast"/>
        </w:trPr>
        <w:tc>
          <w:tcPr>
            <w:tcW w:type="dxa" w:w="261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CARGA HOR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Á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RIA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4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M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DULO</w:t>
            </w:r>
          </w:p>
        </w:tc>
        <w:tc>
          <w:tcPr>
            <w:tcW w:type="dxa" w:w="2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CURSO(S)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ANO VIGENTE</w:t>
            </w:r>
            <w:r>
              <w:rPr>
                <w:sz w:val="22"/>
                <w:szCs w:val="22"/>
                <w:rtl w:val="0"/>
                <w:lang w:val="pt-PT"/>
              </w:rPr>
              <w:t xml:space="preserve"> </w:t>
            </w:r>
          </w:p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P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E</w:t>
            </w:r>
          </w:p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TOTAL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T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P</w:t>
            </w:r>
          </w:p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pt-PT"/>
              </w:rPr>
              <w:t>E</w:t>
            </w:r>
          </w:p>
        </w:tc>
        <w:tc>
          <w:tcPr>
            <w:tcW w:type="dxa" w:w="28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Gradua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o</w:t>
            </w:r>
          </w:p>
        </w:tc>
        <w:tc>
          <w:tcPr>
            <w:tcW w:type="dxa" w:w="19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3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2009.1</w:t>
            </w:r>
          </w:p>
        </w:tc>
      </w:tr>
      <w:tr>
        <w:tblPrEx>
          <w:shd w:val="clear" w:color="auto" w:fill="d0ddef"/>
        </w:tblPrEx>
        <w:trPr>
          <w:trHeight w:val="481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34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34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68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before="160" w:after="160"/>
              <w:jc w:val="center"/>
            </w:pPr>
            <w:r>
              <w:rPr>
                <w:sz w:val="22"/>
                <w:szCs w:val="22"/>
                <w:rtl w:val="0"/>
                <w:lang w:val="pt-PT"/>
              </w:rPr>
              <w:t>15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6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3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ind w:left="108" w:hanging="108"/>
        <w:jc w:val="center"/>
        <w:rPr>
          <w:sz w:val="16"/>
          <w:szCs w:val="16"/>
        </w:rPr>
      </w:pPr>
    </w:p>
    <w:p>
      <w:pPr>
        <w:pStyle w:val="Body A"/>
        <w:widowControl w:val="0"/>
        <w:jc w:val="center"/>
        <w:rPr>
          <w:sz w:val="16"/>
          <w:szCs w:val="16"/>
        </w:rPr>
      </w:pPr>
    </w:p>
    <w:p>
      <w:pPr>
        <w:pStyle w:val="Body A"/>
        <w:widowControl w:val="0"/>
        <w:jc w:val="center"/>
        <w:rPr>
          <w:sz w:val="16"/>
          <w:szCs w:val="16"/>
        </w:rPr>
      </w:pPr>
    </w:p>
    <w:p>
      <w:pPr>
        <w:pStyle w:val="Body A"/>
        <w:rPr>
          <w:sz w:val="2"/>
          <w:szCs w:val="2"/>
        </w:rPr>
      </w:pPr>
    </w:p>
    <w:p>
      <w:pPr>
        <w:pStyle w:val="Body A"/>
        <w:rPr>
          <w:sz w:val="2"/>
          <w:szCs w:val="2"/>
        </w:rPr>
      </w:pPr>
    </w:p>
    <w:p>
      <w:pPr>
        <w:pStyle w:val="Body A"/>
        <w:rPr>
          <w:sz w:val="2"/>
          <w:szCs w:val="2"/>
        </w:rPr>
      </w:pPr>
    </w:p>
    <w:p>
      <w:pPr>
        <w:pStyle w:val="Body A"/>
      </w:pPr>
    </w:p>
    <w:p>
      <w:pPr>
        <w:pStyle w:val="Heading"/>
      </w:pPr>
      <w:r>
        <w:rPr>
          <w:rtl w:val="0"/>
        </w:rPr>
        <w:t>Ementa</w:t>
      </w:r>
    </w:p>
    <w:p>
      <w:pPr>
        <w:pStyle w:val="Body A"/>
        <w:rPr>
          <w:lang w:val="pt-PT"/>
        </w:rPr>
      </w:pPr>
      <w:r>
        <w:rPr>
          <w:rtl w:val="0"/>
          <w:lang w:val="pt-PT"/>
        </w:rPr>
        <w:t>Estudo do contraponto tonal, seus g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neros e procedimentos composicionais caracter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sticos. Aprecia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obras musicais referentes aos elementos estudados.</w:t>
      </w:r>
    </w:p>
    <w:p>
      <w:pPr>
        <w:pStyle w:val="List Paragraph"/>
        <w:keepNext w:val="1"/>
        <w:keepLines w:val="1"/>
        <w:shd w:val="clear" w:color="auto" w:fill="ffffff"/>
        <w:spacing w:before="360" w:after="120" w:line="100" w:lineRule="atLeast"/>
        <w:ind w:left="0" w:firstLine="0"/>
        <w:rPr>
          <w:b w:val="1"/>
          <w:bCs w:val="1"/>
          <w:kern w:val="1"/>
          <w:sz w:val="24"/>
          <w:szCs w:val="24"/>
        </w:rPr>
      </w:pPr>
      <w:r>
        <w:rPr>
          <w:b w:val="1"/>
          <w:bCs w:val="1"/>
          <w:kern w:val="1"/>
          <w:sz w:val="28"/>
          <w:szCs w:val="28"/>
          <w:rtl w:val="0"/>
          <w:lang w:val="pt-PT"/>
        </w:rPr>
        <w:t>Objetivos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ffffff"/>
        <w:suppressAutoHyphens w:val="0"/>
        <w:bidi w:val="0"/>
        <w:spacing w:before="0" w:after="0" w:line="100" w:lineRule="atLeast"/>
        <w:ind w:right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Tornar o estudante apto a manipular o contraponto tonal.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ffffff"/>
        <w:suppressAutoHyphens w:val="0"/>
        <w:bidi w:val="0"/>
        <w:spacing w:before="0" w:after="0" w:line="100" w:lineRule="atLeast"/>
        <w:ind w:right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Fomentar a capacidade de tratamento de motivos e sequ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ê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ncias em exerc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í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cios em pequenas composi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çõ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es a 1 e a 2 vozes.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ffffff"/>
        <w:suppressAutoHyphens w:val="0"/>
        <w:bidi w:val="0"/>
        <w:spacing w:before="0" w:after="0" w:line="100" w:lineRule="atLeast"/>
        <w:ind w:right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Permitir a compreens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 e o reconhecimento das estrat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é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gias de imita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 na m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ú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sica contrapont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í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stica.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ffffff"/>
        <w:suppressAutoHyphens w:val="0"/>
        <w:bidi w:val="0"/>
        <w:spacing w:before="0" w:after="0" w:line="100" w:lineRule="atLeast"/>
        <w:ind w:right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Possibilitar ao estudante a compreens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 das correla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çõ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es entre os conte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ú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dos estudados e praticados e o contexto hist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ó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rico na literatura musical.</w:t>
      </w:r>
    </w:p>
    <w:p>
      <w:pPr>
        <w:pStyle w:val="List Paragraph"/>
        <w:keepNext w:val="1"/>
        <w:keepLines w:val="1"/>
        <w:shd w:val="clear" w:color="auto" w:fill="ffffff"/>
        <w:spacing w:before="360" w:after="120" w:line="100" w:lineRule="atLeast"/>
        <w:ind w:left="0" w:firstLine="0"/>
        <w:rPr>
          <w:b w:val="1"/>
          <w:bCs w:val="1"/>
          <w:kern w:val="1"/>
          <w:sz w:val="24"/>
          <w:szCs w:val="24"/>
        </w:rPr>
      </w:pPr>
      <w:r>
        <w:rPr>
          <w:b w:val="1"/>
          <w:bCs w:val="1"/>
          <w:kern w:val="1"/>
          <w:sz w:val="28"/>
          <w:szCs w:val="28"/>
          <w:rtl w:val="0"/>
          <w:lang w:val="it-IT"/>
        </w:rPr>
        <w:t>Conte</w:t>
      </w:r>
      <w:r>
        <w:rPr>
          <w:b w:val="1"/>
          <w:bCs w:val="1"/>
          <w:kern w:val="1"/>
          <w:sz w:val="28"/>
          <w:szCs w:val="28"/>
          <w:rtl w:val="0"/>
          <w:lang w:val="pt-PT"/>
        </w:rPr>
        <w:t>ú</w:t>
      </w:r>
      <w:r>
        <w:rPr>
          <w:b w:val="1"/>
          <w:bCs w:val="1"/>
          <w:kern w:val="1"/>
          <w:sz w:val="28"/>
          <w:szCs w:val="28"/>
          <w:rtl w:val="0"/>
          <w:lang w:val="pt-PT"/>
        </w:rPr>
        <w:t>dos</w:t>
      </w:r>
    </w:p>
    <w:p>
      <w:pPr>
        <w:keepNext w:val="0"/>
        <w:keepLines w:val="0"/>
        <w:pageBreakBefore w:val="0"/>
        <w:widowControl w:val="1"/>
        <w:shd w:val="clear" w:color="auto" w:fill="ffffff"/>
        <w:suppressAutoHyphens w:val="0"/>
        <w:bidi w:val="0"/>
        <w:spacing w:before="0" w:after="0" w:line="100" w:lineRule="atLeast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1. Princ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í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pios do contraponto harm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ô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nico.  Motivos, sequ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ê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ncias. Composi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 de pe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as a 1 voz (constru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 e equil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í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brio mel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ó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dico).</w:t>
      </w:r>
    </w:p>
    <w:p>
      <w:pPr>
        <w:keepNext w:val="0"/>
        <w:keepLines w:val="0"/>
        <w:pageBreakBefore w:val="0"/>
        <w:widowControl w:val="1"/>
        <w:shd w:val="clear" w:color="auto" w:fill="ffffff"/>
        <w:suppressAutoHyphens w:val="0"/>
        <w:bidi w:val="0"/>
        <w:spacing w:before="0" w:after="0" w:line="100" w:lineRule="atLeast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2. Contraponto a 2 vozes. Composi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 de pequenas pe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as a 2 vozes. </w:t>
      </w:r>
    </w:p>
    <w:p>
      <w:pPr>
        <w:keepNext w:val="0"/>
        <w:keepLines w:val="0"/>
        <w:pageBreakBefore w:val="0"/>
        <w:widowControl w:val="1"/>
        <w:shd w:val="clear" w:color="auto" w:fill="ffffff"/>
        <w:suppressAutoHyphens w:val="0"/>
        <w:bidi w:val="0"/>
        <w:spacing w:before="0" w:after="0" w:line="100" w:lineRule="atLeast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3. Princ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í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pios de imita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o.</w:t>
      </w:r>
    </w:p>
    <w:p>
      <w:pPr>
        <w:keepNext w:val="0"/>
        <w:keepLines w:val="0"/>
        <w:pageBreakBefore w:val="0"/>
        <w:widowControl w:val="1"/>
        <w:shd w:val="clear" w:color="auto" w:fill="ffffff"/>
        <w:suppressAutoHyphens w:val="0"/>
        <w:bidi w:val="0"/>
        <w:spacing w:before="0" w:after="0" w:line="100" w:lineRule="atLeast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4. Aprecia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çã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 e an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á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lise: o contraponto primevo: tipos de </w:t>
      </w:r>
      <w:r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organum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 e seus posteriores desenvolvimentos, Madrigais, o contraponto Renascentista, missas polif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ô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nicas e motetos, a Su</w:t>
      </w:r>
      <w:r>
        <w:rPr>
          <w:rFonts w:ascii="Calibri" w:cs="Calibri" w:hAnsi="Calibri" w:eastAsia="Calibr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í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te Barroca.</w:t>
      </w:r>
    </w:p>
    <w:p>
      <w:pPr>
        <w:pStyle w:val="Heading"/>
      </w:pPr>
      <w:r>
        <w:rPr>
          <w:rtl w:val="0"/>
        </w:rPr>
        <w:t>Metodologia</w:t>
      </w:r>
    </w:p>
    <w:p>
      <w:pPr>
        <w:pStyle w:val="Body A"/>
      </w:pPr>
      <w:r>
        <w:rPr>
          <w:rtl w:val="0"/>
          <w:lang w:val="pt-PT"/>
        </w:rPr>
        <w:t>Aulas te</w:t>
      </w:r>
      <w:r>
        <w:rPr>
          <w:rtl w:val="0"/>
          <w:lang w:val="es-ES_tradnl"/>
        </w:rPr>
        <w:t>ó</w:t>
      </w:r>
      <w:r>
        <w:rPr>
          <w:rtl w:val="0"/>
          <w:lang w:val="it-IT"/>
        </w:rPr>
        <w:t>rico-pr</w:t>
      </w:r>
      <w:r>
        <w:rPr>
          <w:rtl w:val="0"/>
          <w:lang w:val="en-US"/>
        </w:rPr>
        <w:t>á</w:t>
      </w:r>
      <w:r>
        <w:rPr>
          <w:rtl w:val="0"/>
          <w:lang w:val="pt-PT"/>
        </w:rPr>
        <w:t>ticas</w:t>
      </w:r>
    </w:p>
    <w:p>
      <w:pPr>
        <w:pStyle w:val="Heading"/>
      </w:pPr>
      <w:r>
        <w:rPr>
          <w:rtl w:val="0"/>
        </w:rPr>
        <w:t>Avalia</w:t>
      </w:r>
      <w:r>
        <w:rPr>
          <w:rtl w:val="0"/>
        </w:rPr>
        <w:t>çã</w:t>
      </w:r>
      <w:r>
        <w:rPr>
          <w:rtl w:val="0"/>
        </w:rPr>
        <w:t>o</w:t>
      </w:r>
    </w:p>
    <w:p>
      <w:pPr>
        <w:pStyle w:val="Body A"/>
      </w:pPr>
      <w:r>
        <w:rPr>
          <w:rtl w:val="0"/>
          <w:lang w:val="pt-PT"/>
        </w:rPr>
        <w:t>Provas</w:t>
      </w:r>
      <w:r>
        <w:rPr>
          <w:rtl w:val="0"/>
          <w:lang w:val="en-US"/>
        </w:rPr>
        <w:t xml:space="preserve"> e/ou trabalhos pr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ticos</w:t>
      </w:r>
    </w:p>
    <w:p>
      <w:pPr>
        <w:pStyle w:val="Heading"/>
      </w:pPr>
      <w:r>
        <w:rPr>
          <w:rtl w:val="0"/>
        </w:rPr>
        <w:t>Bibliografia</w:t>
      </w:r>
    </w:p>
    <w:p>
      <w:pPr>
        <w:pStyle w:val="Default"/>
        <w:shd w:val="clear" w:color="auto" w:fill="ffffff"/>
        <w:spacing w:line="100" w:lineRule="atLeas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Principal</w:t>
      </w:r>
    </w:p>
    <w:p>
      <w:pPr>
        <w:pStyle w:val="Default"/>
        <w:spacing w:line="300" w:lineRule="atLeast"/>
        <w:rPr>
          <w:rFonts w:ascii="Trebuchet MS" w:cs="Trebuchet MS" w:hAnsi="Trebuchet MS" w:eastAsia="Trebuchet MS"/>
          <w:sz w:val="24"/>
          <w:szCs w:val="24"/>
          <w:shd w:val="clear" w:color="auto" w:fill="ffffff"/>
        </w:rPr>
      </w:pPr>
      <w:r>
        <w:rPr>
          <w:rFonts w:ascii="Trebuchet MS" w:hAnsi="Trebuchet MS"/>
          <w:sz w:val="24"/>
          <w:szCs w:val="24"/>
          <w:shd w:val="clear" w:color="auto" w:fill="ffffff"/>
          <w:rtl w:val="0"/>
          <w:lang w:val="da-DK"/>
        </w:rPr>
        <w:t>Tragtenberg, Livio.</w:t>
      </w:r>
      <w:r>
        <w:rPr>
          <w:rFonts w:ascii="Trebuchet MS" w:hAnsi="Trebuchet MS" w:hint="default"/>
          <w:sz w:val="24"/>
          <w:szCs w:val="24"/>
          <w:shd w:val="clear" w:color="auto" w:fill="ffffff"/>
          <w:rtl w:val="0"/>
          <w:lang w:val="en-US"/>
        </w:rPr>
        <w:t> 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Contraponto: uma arte de compor. Sa</w:t>
      </w:r>
      <w:r>
        <w:rPr>
          <w:rFonts w:ascii="Arial Unicode MS" w:hAnsi="Arial Unicode MS" w:hint="default"/>
          <w:sz w:val="24"/>
          <w:szCs w:val="24"/>
          <w:shd w:val="clear" w:color="auto" w:fill="ffffff"/>
          <w:rtl w:val="0"/>
          <w:lang w:val="en-US"/>
        </w:rPr>
        <w:t>̃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en-US"/>
        </w:rPr>
        <w:t>o Paulo, SP, Brasil: Edusp, 2002.</w:t>
      </w:r>
    </w:p>
    <w:p>
      <w:pPr>
        <w:pStyle w:val="Default"/>
        <w:spacing w:line="300" w:lineRule="atLeast"/>
        <w:rPr>
          <w:rFonts w:ascii="Trebuchet MS" w:cs="Trebuchet MS" w:hAnsi="Trebuchet MS" w:eastAsia="Trebuchet MS"/>
          <w:sz w:val="24"/>
          <w:szCs w:val="24"/>
          <w:shd w:val="clear" w:color="auto" w:fill="ffffff"/>
        </w:rPr>
      </w:pPr>
    </w:p>
    <w:p>
      <w:pPr>
        <w:pStyle w:val="Default"/>
        <w:spacing w:line="300" w:lineRule="atLeast"/>
        <w:rPr>
          <w:rFonts w:ascii="Calibri" w:cs="Calibri" w:hAnsi="Calibri" w:eastAsia="Calibri"/>
          <w:sz w:val="24"/>
          <w:szCs w:val="24"/>
          <w:shd w:val="clear" w:color="auto" w:fill="ffffff"/>
          <w:lang w:val="pt-PT"/>
        </w:rPr>
      </w:pP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Zamacois, Joaquim.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 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Curso de formas musicales : con numerosos ejemplos musicales. Barcelona: Editorial Labor Espanha, 1960.</w:t>
      </w:r>
    </w:p>
    <w:p>
      <w:pPr>
        <w:pStyle w:val="Default"/>
        <w:shd w:val="clear" w:color="auto" w:fill="ffffff"/>
        <w:spacing w:line="100" w:lineRule="atLeast"/>
        <w:rPr>
          <w:rFonts w:ascii="Calibri" w:cs="Calibri" w:hAnsi="Calibri" w:eastAsia="Calibri"/>
          <w:kern w:val="1"/>
          <w:sz w:val="24"/>
          <w:szCs w:val="24"/>
          <w:u w:color="000000"/>
          <w:lang w:val="pt-PT"/>
        </w:rPr>
      </w:pPr>
    </w:p>
    <w:p>
      <w:pPr>
        <w:pStyle w:val="Default"/>
        <w:shd w:val="clear" w:color="auto" w:fill="ffffff"/>
        <w:spacing w:line="100" w:lineRule="atLeas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Auxiliar</w:t>
      </w:r>
    </w:p>
    <w:p>
      <w:pPr>
        <w:pStyle w:val="Body A"/>
      </w:pPr>
      <w:r>
        <w:rPr>
          <w:rtl w:val="0"/>
          <w:lang w:val="it-IT"/>
        </w:rPr>
        <w:t>Bitsch, Marcel e Gallon, No</w:t>
      </w:r>
      <w:r>
        <w:rPr>
          <w:rtl w:val="0"/>
          <w:lang w:val="nl-NL"/>
        </w:rPr>
        <w:t>ë</w:t>
      </w:r>
      <w:r>
        <w:rPr>
          <w:rtl w:val="0"/>
          <w:lang w:val="pt-PT"/>
        </w:rPr>
        <w:t xml:space="preserve">l. </w:t>
      </w:r>
      <w:r>
        <w:rPr>
          <w:rFonts w:ascii="Calibri" w:cs="Calibri" w:hAnsi="Calibri" w:eastAsia="Calibri"/>
          <w:i w:val="1"/>
          <w:iCs w:val="1"/>
          <w:rtl w:val="0"/>
          <w:lang w:val="fr-FR"/>
        </w:rPr>
        <w:t>Trait</w:t>
      </w:r>
      <w:r>
        <w:rPr>
          <w:rFonts w:ascii="Calibri" w:cs="Calibri" w:hAnsi="Calibri" w:eastAsia="Calibri"/>
          <w:i w:val="1"/>
          <w:iCs w:val="1"/>
          <w:rtl w:val="0"/>
          <w:lang w:val="fr-FR"/>
        </w:rPr>
        <w:t xml:space="preserve">é </w:t>
      </w:r>
      <w:r>
        <w:rPr>
          <w:rFonts w:ascii="Calibri" w:cs="Calibri" w:hAnsi="Calibri" w:eastAsia="Calibri"/>
          <w:i w:val="1"/>
          <w:iCs w:val="1"/>
          <w:rtl w:val="0"/>
          <w:lang w:val="fr-FR"/>
        </w:rPr>
        <w:t>de contrepoint</w:t>
      </w:r>
      <w:r>
        <w:rPr>
          <w:rtl w:val="0"/>
          <w:lang w:val="da-DK"/>
        </w:rPr>
        <w:t>. Paris: Durand, 1964.</w:t>
      </w:r>
    </w:p>
    <w:p>
      <w:pPr>
        <w:pStyle w:val="Body A"/>
      </w:pPr>
    </w:p>
    <w:p>
      <w:pPr>
        <w:pStyle w:val="Body A"/>
      </w:pPr>
      <w:r>
        <w:rPr>
          <w:rtl w:val="0"/>
          <w:lang w:val="it-IT"/>
        </w:rPr>
        <w:t xml:space="preserve">Cherubini, Luigi.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A Treatise on Counterpoint and Fugue</w:t>
      </w:r>
      <w:r>
        <w:rPr>
          <w:rtl w:val="0"/>
          <w:lang w:val="it-IT"/>
        </w:rPr>
        <w:t>. London: Novello and Company. 1963.</w:t>
      </w:r>
    </w:p>
    <w:p>
      <w:pPr>
        <w:pStyle w:val="Body A"/>
      </w:pPr>
    </w:p>
    <w:p>
      <w:pPr>
        <w:pStyle w:val="Body A"/>
      </w:pPr>
      <w:r>
        <w:rPr>
          <w:rtl w:val="0"/>
        </w:rPr>
        <w:t xml:space="preserve">Kennan, Kent W.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Counterpoint Based on Eighteenth-Century Practice</w:t>
      </w:r>
      <w:r>
        <w:rPr>
          <w:rtl w:val="0"/>
        </w:rPr>
        <w:t>. New Jersey: Prentice-Hall, 1972.</w:t>
      </w:r>
    </w:p>
    <w:p>
      <w:pPr>
        <w:pStyle w:val="Body A"/>
      </w:pPr>
    </w:p>
    <w:p>
      <w:pPr>
        <w:pStyle w:val="Default"/>
        <w:shd w:val="clear" w:color="auto" w:fill="ffffff"/>
        <w:spacing w:line="100" w:lineRule="atLeast"/>
        <w:rPr>
          <w:rFonts w:ascii="Calibri" w:cs="Calibri" w:hAnsi="Calibri" w:eastAsia="Calibri"/>
          <w:kern w:val="1"/>
          <w:sz w:val="24"/>
          <w:szCs w:val="24"/>
          <w:u w:color="000000"/>
        </w:rPr>
      </w:pPr>
      <w:r>
        <w:rPr>
          <w:rFonts w:ascii="Calibri" w:cs="Calibri" w:hAnsi="Calibri" w:eastAsia="Calibri"/>
          <w:kern w:val="1"/>
          <w:sz w:val="24"/>
          <w:szCs w:val="24"/>
          <w:u w:color="000000"/>
          <w:rtl w:val="0"/>
          <w:lang w:val="en-US"/>
        </w:rPr>
        <w:t xml:space="preserve">Kostka, Stefan e Payne, Dorothy. </w:t>
      </w:r>
      <w:r>
        <w:rPr>
          <w:rFonts w:ascii="Calibri" w:cs="Calibri" w:hAnsi="Calibri" w:eastAsia="Calibri"/>
          <w:i w:val="1"/>
          <w:iCs w:val="1"/>
          <w:kern w:val="1"/>
          <w:sz w:val="24"/>
          <w:szCs w:val="24"/>
          <w:u w:color="000000"/>
          <w:rtl w:val="0"/>
          <w:lang w:val="en-US"/>
        </w:rPr>
        <w:t>Tonal Harmony</w:t>
      </w:r>
      <w:r>
        <w:rPr>
          <w:rFonts w:ascii="Calibri" w:cs="Calibri" w:hAnsi="Calibri" w:eastAsia="Calibri"/>
          <w:kern w:val="1"/>
          <w:sz w:val="24"/>
          <w:szCs w:val="24"/>
          <w:u w:color="000000"/>
          <w:rtl w:val="0"/>
          <w:lang w:val="en-US"/>
        </w:rPr>
        <w:t>. Nova York: Alfred A. Knopf, 1989.</w:t>
      </w:r>
    </w:p>
    <w:p>
      <w:pPr>
        <w:pStyle w:val="Default"/>
        <w:shd w:val="clear" w:color="auto" w:fill="ffffff"/>
        <w:spacing w:line="100" w:lineRule="atLeast"/>
        <w:rPr>
          <w:rFonts w:ascii="Calibri" w:cs="Calibri" w:hAnsi="Calibri" w:eastAsia="Calibri"/>
          <w:kern w:val="1"/>
          <w:sz w:val="24"/>
          <w:szCs w:val="24"/>
          <w:u w:color="000000"/>
        </w:rPr>
      </w:pPr>
    </w:p>
    <w:p>
      <w:pPr>
        <w:pStyle w:val="Body A"/>
      </w:pPr>
      <w:r>
        <w:rPr>
          <w:rtl w:val="0"/>
          <w:lang w:val="it-IT"/>
        </w:rPr>
        <w:t xml:space="preserve">Lovelock, William.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Free Counterpoint</w:t>
      </w:r>
      <w:r>
        <w:rPr>
          <w:rtl w:val="0"/>
          <w:lang w:val="de-DE"/>
        </w:rPr>
        <w:t>. Norwich (Inglaterra): William Elkin, s.d.</w:t>
      </w:r>
    </w:p>
    <w:p>
      <w:pPr>
        <w:pStyle w:val="Body A"/>
      </w:pPr>
    </w:p>
    <w:p>
      <w:pPr>
        <w:pStyle w:val="Body A"/>
      </w:pPr>
      <w:r>
        <w:rPr>
          <w:rtl w:val="0"/>
        </w:rPr>
        <w:t xml:space="preserve">Mann, Alfred.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The Study of Fugue</w:t>
      </w:r>
      <w:r>
        <w:rPr>
          <w:rtl w:val="0"/>
        </w:rPr>
        <w:t>. New Jersey: Rutgers University Press, 1958.</w:t>
      </w:r>
    </w:p>
    <w:p>
      <w:pPr>
        <w:pStyle w:val="Body A"/>
      </w:pPr>
    </w:p>
    <w:p>
      <w:pPr>
        <w:pStyle w:val="Body A"/>
      </w:pPr>
      <w:r>
        <w:rPr>
          <w:rtl w:val="0"/>
          <w:lang w:val="pt-PT"/>
        </w:rPr>
        <w:t>Partituras dispon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veis no IMSLP. Dispon</w:t>
      </w:r>
      <w:r>
        <w:rPr>
          <w:rtl w:val="0"/>
          <w:lang w:val="en-US"/>
        </w:rPr>
        <w:t>í</w:t>
      </w:r>
      <w:r>
        <w:rPr>
          <w:rtl w:val="0"/>
          <w:lang w:val="pt-PT"/>
        </w:rPr>
        <w:t>vel em &lt;http://imslp.org&gt;. Acesso em 01 jan. 2016.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tbl>
      <w:tblPr>
        <w:tblW w:w="548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875"/>
        <w:gridCol w:w="609"/>
      </w:tblGrid>
      <w:tr>
        <w:tblPrEx>
          <w:shd w:val="clear" w:color="auto" w:fill="d0ddef"/>
        </w:tblPrEx>
        <w:trPr>
          <w:trHeight w:val="613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jc w:val="center"/>
            </w:pPr>
            <w:r>
              <w:rPr>
                <w:sz w:val="20"/>
                <w:szCs w:val="20"/>
                <w:rtl w:val="0"/>
                <w:lang w:val="pt-PT"/>
              </w:rPr>
              <w:t>Programa de componente curricular proposto na reuni</w:t>
            </w:r>
            <w:r>
              <w:rPr>
                <w:sz w:val="20"/>
                <w:szCs w:val="20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rtl w:val="0"/>
                <w:lang w:val="pt-PT"/>
              </w:rPr>
              <w:t>o do Departamento, em 12/08/2016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32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jc w:val="center"/>
              <w:rPr>
                <w:sz w:val="20"/>
                <w:szCs w:val="20"/>
              </w:rPr>
            </w:pPr>
          </w:p>
          <w:p>
            <w:pPr>
              <w:pStyle w:val="Body B"/>
              <w:bidi w:val="0"/>
              <w:ind w:left="0" w:right="0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  <w:lang w:val="pt-PT"/>
              </w:rPr>
              <w:t>Pedro Ribeiro Kroger Junior</w:t>
            </w:r>
          </w:p>
          <w:p>
            <w:pPr>
              <w:pStyle w:val="Body B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rtl w:val="0"/>
                <w:lang w:val="pt-PT"/>
              </w:rPr>
              <w:t>Chefe do Departamento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ind w:left="108" w:hanging="108"/>
        <w:jc w:val="center"/>
      </w:pPr>
      <w:r/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Heading">
    <w:name w:val="Heading"/>
    <w:next w:val="Body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20" w:line="240" w:lineRule="auto"/>
      <w:ind w:left="0" w:right="0" w:firstLine="0"/>
      <w:jc w:val="left"/>
      <w:outlineLvl w:val="0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pt-P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