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971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08"/>
        <w:gridCol w:w="190"/>
        <w:gridCol w:w="4898"/>
        <w:gridCol w:w="190"/>
        <w:gridCol w:w="3585"/>
      </w:tblGrid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1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</w:pPr>
            <w:r>
              <w:rPr>
                <w:lang w:val="en-US"/>
              </w:rPr>
              <w:drawing>
                <wp:inline distT="0" distB="0" distL="0" distR="0">
                  <wp:extent cx="498475" cy="550545"/>
                  <wp:effectExtent l="0" t="0" r="0" b="0"/>
                  <wp:docPr id="1073741825" name="officeArt object" descr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rPr>
                <w:rFonts w:ascii="Calibri" w:cs="Calibri" w:hAnsi="Calibri" w:eastAsia="Calibri"/>
                <w:b w:val="1"/>
                <w:bCs w:val="1"/>
                <w:spacing w:val="50"/>
                <w:sz w:val="22"/>
                <w:szCs w:val="22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50"/>
                <w:sz w:val="22"/>
                <w:szCs w:val="22"/>
                <w:rtl w:val="0"/>
              </w:rPr>
              <w:t>UNIVERSIDADE FEDERAL DA BAHIA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Escola de M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</w:rPr>
              <w:t>ú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it-IT"/>
              </w:rPr>
              <w:t xml:space="preserve">sica 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Departamento de M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</w:rPr>
              <w:t>ú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it-IT"/>
              </w:rPr>
              <w:t>sica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rFonts w:ascii="Calibri" w:cs="Calibri" w:hAnsi="Calibri" w:eastAsia="Calibri"/>
                <w:b w:val="1"/>
                <w:bCs w:val="1"/>
                <w:sz w:val="12"/>
                <w:szCs w:val="12"/>
              </w:rPr>
            </w:pPr>
          </w:p>
          <w:p>
            <w:pPr>
              <w:pStyle w:val="Body A"/>
              <w:bidi w:val="0"/>
              <w:ind w:left="0" w:right="0" w:firstLine="0"/>
              <w:jc w:val="center"/>
              <w:rPr>
                <w:rFonts w:ascii="Calibri" w:cs="Calibri" w:hAnsi="Calibri" w:eastAsia="Calibri"/>
                <w:b w:val="1"/>
                <w:bCs w:val="1"/>
                <w:spacing w:val="20"/>
                <w:sz w:val="26"/>
                <w:szCs w:val="26"/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6"/>
                <w:szCs w:val="26"/>
                <w:rtl w:val="0"/>
                <w:lang w:val="de-DE"/>
              </w:rPr>
              <w:t>PROGRAMA DE COMPONENTE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6"/>
                <w:szCs w:val="26"/>
                <w:rtl w:val="0"/>
                <w:lang w:val="es-ES_tradnl"/>
              </w:rPr>
              <w:t>CURRICULAR</w:t>
            </w:r>
          </w:p>
        </w:tc>
      </w:tr>
    </w:tbl>
    <w:p>
      <w:pPr>
        <w:pStyle w:val="Body"/>
        <w:widowControl w:val="0"/>
        <w:ind w:left="108" w:hanging="108"/>
        <w:jc w:val="center"/>
      </w:pPr>
    </w:p>
    <w:p>
      <w:pPr>
        <w:pStyle w:val="Body A"/>
        <w:widowControl w:val="0"/>
        <w:jc w:val="center"/>
      </w:pPr>
    </w:p>
    <w:p>
      <w:pPr>
        <w:pStyle w:val="Body A A"/>
        <w:widowControl w:val="0"/>
      </w:pPr>
    </w:p>
    <w:p>
      <w:pPr>
        <w:pStyle w:val="Body A A"/>
        <w:rPr>
          <w:sz w:val="20"/>
          <w:szCs w:val="20"/>
        </w:rPr>
      </w:pPr>
    </w:p>
    <w:tbl>
      <w:tblPr>
        <w:tblW w:w="1001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68"/>
        <w:gridCol w:w="190"/>
        <w:gridCol w:w="8256"/>
      </w:tblGrid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C</w:t>
            </w: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DIGO</w:t>
            </w:r>
          </w:p>
        </w:tc>
        <w:tc>
          <w:tcPr>
            <w:tcW w:type="dxa" w:w="1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40"/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16"/>
                <w:szCs w:val="16"/>
                <w:rtl w:val="0"/>
                <w:lang w:val="pt-PT"/>
              </w:rPr>
              <w:t>NOME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MUSA7</w:t>
            </w:r>
            <w:r>
              <w:rPr>
                <w:sz w:val="22"/>
                <w:szCs w:val="22"/>
                <w:rtl w:val="0"/>
                <w:lang w:val="en-US"/>
              </w:rPr>
              <w:t>2</w:t>
            </w:r>
          </w:p>
        </w:tc>
        <w:tc>
          <w:tcPr>
            <w:tcW w:type="dxa" w:w="1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8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Literatura e Estrutura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o Musical IV</w:t>
            </w:r>
          </w:p>
        </w:tc>
      </w:tr>
    </w:tbl>
    <w:p>
      <w:pPr>
        <w:pStyle w:val="Body A A"/>
        <w:widowControl w:val="0"/>
        <w:spacing w:line="240" w:lineRule="auto"/>
        <w:ind w:left="108" w:hanging="108"/>
        <w:jc w:val="center"/>
        <w:rPr>
          <w:sz w:val="20"/>
          <w:szCs w:val="20"/>
        </w:rPr>
      </w:pPr>
    </w:p>
    <w:p>
      <w:pPr>
        <w:pStyle w:val="Body A A"/>
        <w:widowControl w:val="0"/>
        <w:spacing w:line="240" w:lineRule="auto"/>
        <w:jc w:val="center"/>
        <w:rPr>
          <w:sz w:val="20"/>
          <w:szCs w:val="20"/>
        </w:rPr>
      </w:pPr>
    </w:p>
    <w:p>
      <w:pPr>
        <w:pStyle w:val="Body A A"/>
        <w:widowControl w:val="0"/>
        <w:spacing w:line="240" w:lineRule="auto"/>
        <w:jc w:val="center"/>
        <w:rPr>
          <w:sz w:val="20"/>
          <w:szCs w:val="20"/>
        </w:rPr>
      </w:pPr>
    </w:p>
    <w:p>
      <w:pPr>
        <w:pStyle w:val="Body A A"/>
        <w:widowControl w:val="0"/>
        <w:jc w:val="center"/>
        <w:rPr>
          <w:sz w:val="20"/>
          <w:szCs w:val="20"/>
        </w:rPr>
      </w:pPr>
    </w:p>
    <w:p>
      <w:pPr>
        <w:pStyle w:val="Body A A"/>
        <w:rPr>
          <w:sz w:val="16"/>
          <w:szCs w:val="16"/>
        </w:rPr>
      </w:pPr>
    </w:p>
    <w:tbl>
      <w:tblPr>
        <w:tblW w:w="9020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2"/>
        <w:gridCol w:w="545"/>
        <w:gridCol w:w="533"/>
        <w:gridCol w:w="619"/>
        <w:gridCol w:w="167"/>
        <w:gridCol w:w="604"/>
        <w:gridCol w:w="309"/>
        <w:gridCol w:w="749"/>
        <w:gridCol w:w="240"/>
        <w:gridCol w:w="2362"/>
        <w:gridCol w:w="167"/>
        <w:gridCol w:w="1848"/>
        <w:gridCol w:w="167"/>
        <w:gridCol w:w="168"/>
      </w:tblGrid>
      <w:tr>
        <w:tblPrEx>
          <w:shd w:val="clear" w:color="auto" w:fill="ced7e7"/>
        </w:tblPrEx>
        <w:trPr>
          <w:trHeight w:val="335" w:hRule="atLeast"/>
        </w:trPr>
        <w:tc>
          <w:tcPr>
            <w:tcW w:type="dxa" w:w="223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CARGA HOR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Á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RIA</w:t>
            </w:r>
          </w:p>
        </w:tc>
        <w:tc>
          <w:tcPr>
            <w:tcW w:type="dxa" w:w="167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M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DULO</w:t>
            </w:r>
          </w:p>
        </w:tc>
        <w:tc>
          <w:tcPr>
            <w:tcW w:type="dxa" w:w="2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CURSO(S)</w:t>
            </w:r>
          </w:p>
        </w:tc>
        <w:tc>
          <w:tcPr>
            <w:tcW w:type="dxa" w:w="167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ANO VIGENTE</w:t>
            </w:r>
            <w:r>
              <w:rPr>
                <w:sz w:val="22"/>
                <w:szCs w:val="22"/>
                <w:rtl w:val="0"/>
                <w:lang w:val="pt-PT"/>
              </w:rPr>
              <w:t xml:space="preserve"> </w:t>
            </w:r>
          </w:p>
        </w:tc>
        <w:tc>
          <w:tcPr>
            <w:tcW w:type="dxa" w:w="167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0" w:hRule="atLeast"/>
        </w:trPr>
        <w:tc>
          <w:tcPr>
            <w:tcW w:type="dxa" w:w="5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</w:t>
            </w:r>
          </w:p>
        </w:tc>
        <w:tc>
          <w:tcPr>
            <w:tcW w:type="dxa" w:w="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P</w:t>
            </w:r>
          </w:p>
        </w:tc>
        <w:tc>
          <w:tcPr>
            <w:tcW w:type="dxa" w:w="5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E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TOTAL</w:t>
            </w:r>
          </w:p>
        </w:tc>
        <w:tc>
          <w:tcPr>
            <w:tcW w:type="dxa" w:w="167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</w:t>
            </w:r>
          </w:p>
        </w:tc>
        <w:tc>
          <w:tcPr>
            <w:tcW w:type="dxa" w:w="3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P</w:t>
            </w:r>
          </w:p>
        </w:tc>
        <w:tc>
          <w:tcPr>
            <w:tcW w:type="dxa" w:w="7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E</w:t>
            </w:r>
          </w:p>
        </w:tc>
        <w:tc>
          <w:tcPr>
            <w:tcW w:type="dxa" w:w="24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36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Gradua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o</w:t>
            </w:r>
          </w:p>
        </w:tc>
        <w:tc>
          <w:tcPr>
            <w:tcW w:type="dxa" w:w="167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2009.1</w:t>
            </w:r>
          </w:p>
        </w:tc>
        <w:tc>
          <w:tcPr>
            <w:tcW w:type="dxa" w:w="3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31" w:hRule="atLeast"/>
        </w:trPr>
        <w:tc>
          <w:tcPr>
            <w:tcW w:type="dxa" w:w="5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34</w:t>
            </w:r>
          </w:p>
        </w:tc>
        <w:tc>
          <w:tcPr>
            <w:tcW w:type="dxa" w:w="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34</w:t>
            </w:r>
          </w:p>
        </w:tc>
        <w:tc>
          <w:tcPr>
            <w:tcW w:type="dxa" w:w="5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68</w:t>
            </w:r>
          </w:p>
        </w:tc>
        <w:tc>
          <w:tcPr>
            <w:tcW w:type="dxa" w:w="167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15</w:t>
            </w:r>
          </w:p>
        </w:tc>
        <w:tc>
          <w:tcPr>
            <w:tcW w:type="dxa" w:w="3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236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167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184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335"/>
            <w:gridSpan w:val="2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 A"/>
        <w:widowControl w:val="0"/>
        <w:spacing w:line="240" w:lineRule="auto"/>
        <w:ind w:left="108" w:hanging="108"/>
        <w:jc w:val="center"/>
        <w:rPr>
          <w:sz w:val="16"/>
          <w:szCs w:val="16"/>
        </w:rPr>
      </w:pPr>
    </w:p>
    <w:p>
      <w:pPr>
        <w:pStyle w:val="Body A A"/>
        <w:widowControl w:val="0"/>
        <w:spacing w:line="240" w:lineRule="auto"/>
        <w:jc w:val="center"/>
        <w:rPr>
          <w:sz w:val="16"/>
          <w:szCs w:val="16"/>
        </w:rPr>
      </w:pPr>
    </w:p>
    <w:p>
      <w:pPr>
        <w:pStyle w:val="Body A A"/>
        <w:widowControl w:val="0"/>
        <w:spacing w:line="240" w:lineRule="auto"/>
        <w:jc w:val="center"/>
        <w:rPr>
          <w:sz w:val="16"/>
          <w:szCs w:val="16"/>
        </w:rPr>
      </w:pPr>
    </w:p>
    <w:p>
      <w:pPr>
        <w:pStyle w:val="Body A A"/>
        <w:widowControl w:val="0"/>
        <w:jc w:val="center"/>
        <w:rPr>
          <w:sz w:val="16"/>
          <w:szCs w:val="16"/>
        </w:rPr>
      </w:pP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Ementa</w:t>
      </w:r>
    </w:p>
    <w:p>
      <w:pPr>
        <w:pStyle w:val="Body A A"/>
      </w:pP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vel 2 de estudo da harmonia crom</w:t>
      </w:r>
      <w:r>
        <w:rPr>
          <w:rtl w:val="0"/>
        </w:rPr>
        <w:t>á</w:t>
      </w:r>
      <w:r>
        <w:rPr>
          <w:rtl w:val="0"/>
        </w:rPr>
        <w:t>tica, da constru</w:t>
      </w:r>
      <w:r>
        <w:rPr>
          <w:rtl w:val="0"/>
        </w:rPr>
        <w:t>çã</w:t>
      </w:r>
      <w:r>
        <w:rPr>
          <w:rtl w:val="0"/>
        </w:rPr>
        <w:t>o de frases musicais e suas combina</w:t>
      </w:r>
      <w:r>
        <w:rPr>
          <w:rtl w:val="0"/>
        </w:rPr>
        <w:t>çõ</w:t>
      </w:r>
      <w:r>
        <w:rPr>
          <w:rtl w:val="0"/>
        </w:rPr>
        <w:t xml:space="preserve">es. Estudo de formas musicais de estrutura </w:t>
      </w:r>
      <w:r>
        <w:rPr>
          <w:rtl w:val="0"/>
        </w:rPr>
        <w:t>ú</w:t>
      </w:r>
      <w:r>
        <w:rPr>
          <w:rtl w:val="0"/>
        </w:rPr>
        <w:t>nica, bin</w:t>
      </w:r>
      <w:r>
        <w:rPr>
          <w:rtl w:val="0"/>
        </w:rPr>
        <w:t>á</w:t>
      </w:r>
      <w:r>
        <w:rPr>
          <w:rtl w:val="0"/>
        </w:rPr>
        <w:t>ria e tern</w:t>
      </w:r>
      <w:r>
        <w:rPr>
          <w:rtl w:val="0"/>
        </w:rPr>
        <w:t>á</w:t>
      </w:r>
      <w:r>
        <w:rPr>
          <w:rtl w:val="0"/>
        </w:rPr>
        <w:t>ria. Aprecia</w:t>
      </w:r>
      <w:r>
        <w:rPr>
          <w:rtl w:val="0"/>
        </w:rPr>
        <w:t>çã</w:t>
      </w:r>
      <w:r>
        <w:rPr>
          <w:rtl w:val="0"/>
        </w:rPr>
        <w:t>o de obras musicais referentes aos elementos estudados. Continua</w:t>
      </w:r>
      <w:r>
        <w:rPr>
          <w:rtl w:val="0"/>
        </w:rPr>
        <w:t>çã</w:t>
      </w:r>
      <w:r>
        <w:rPr>
          <w:rtl w:val="0"/>
        </w:rPr>
        <w:t>o de Literatura e Estrutura</w:t>
      </w:r>
      <w:r>
        <w:rPr>
          <w:rtl w:val="0"/>
        </w:rPr>
        <w:t>çã</w:t>
      </w:r>
      <w:r>
        <w:rPr>
          <w:rtl w:val="0"/>
        </w:rPr>
        <w:t>o Musical III.</w:t>
      </w:r>
    </w:p>
    <w:p>
      <w:pPr>
        <w:pStyle w:val="Heading"/>
        <w:keepLines w:val="1"/>
        <w:bidi w:val="0"/>
        <w:spacing w:before="360" w:after="120"/>
        <w:ind w:left="0" w:right="0" w:firstLine="0"/>
        <w:jc w:val="left"/>
        <w:rPr>
          <w:rFonts w:ascii="Calibri" w:cs="Calibri" w:hAnsi="Calibri" w:eastAsia="Calibri"/>
          <w:sz w:val="24"/>
          <w:szCs w:val="24"/>
          <w:u w:color="000000"/>
          <w:rtl w:val="0"/>
          <w:lang w:val="pt-PT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pt-PT"/>
        </w:rPr>
        <w:t>Objetivos</w:t>
      </w:r>
    </w:p>
    <w:p>
      <w:pPr>
        <w:pStyle w:val="Body A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pt-PT"/>
        </w:rPr>
        <w:t>Oferecer aos alunos uma vis</w:t>
      </w:r>
      <w:r>
        <w:rPr>
          <w:rFonts w:ascii="Calibri" w:cs="Calibri" w:hAnsi="Calibri" w:eastAsia="Calibri"/>
          <w:rtl w:val="0"/>
          <w:lang w:val="pt-PT"/>
        </w:rPr>
        <w:t>ã</w:t>
      </w:r>
      <w:r>
        <w:rPr>
          <w:rFonts w:ascii="Calibri" w:cs="Calibri" w:hAnsi="Calibri" w:eastAsia="Calibri"/>
          <w:rtl w:val="0"/>
          <w:lang w:val="pt-PT"/>
        </w:rPr>
        <w:t xml:space="preserve">o contextualizada da </w:t>
      </w:r>
      <w:r>
        <w:rPr>
          <w:rFonts w:ascii="Calibri" w:cs="Calibri" w:hAnsi="Calibri" w:eastAsia="Calibri"/>
          <w:rtl w:val="0"/>
          <w:lang w:val="en-US"/>
        </w:rPr>
        <w:t>Forma Sonata e Concerto</w:t>
      </w:r>
    </w:p>
    <w:p>
      <w:pPr>
        <w:pStyle w:val="Heading"/>
        <w:keepLines w:val="1"/>
        <w:bidi w:val="0"/>
        <w:spacing w:before="360" w:after="120"/>
        <w:ind w:left="0" w:right="0" w:firstLine="0"/>
        <w:jc w:val="left"/>
        <w:rPr>
          <w:rFonts w:ascii="Calibri" w:cs="Calibri" w:hAnsi="Calibri" w:eastAsia="Calibri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it-IT"/>
        </w:rPr>
        <w:t>Conte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pt-PT"/>
        </w:rPr>
        <w:t>ú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pt-PT"/>
        </w:rPr>
        <w:t>dos</w:t>
      </w:r>
    </w:p>
    <w:p>
      <w:pPr>
        <w:pStyle w:val="Título"/>
        <w:keepNext w:val="0"/>
        <w:keepLines w:val="0"/>
        <w:numPr>
          <w:ilvl w:val="0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A Forma Sonata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Aspecto Geral da Forma Sonata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Se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çã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o da Tonalidade Principal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en-US"/>
        </w:rPr>
      </w:pPr>
      <w:r>
        <w:rPr>
          <w:b w:val="0"/>
          <w:bCs w:val="0"/>
          <w:kern w:val="0"/>
          <w:sz w:val="24"/>
          <w:szCs w:val="24"/>
          <w:rtl w:val="0"/>
          <w:lang w:val="en-US"/>
        </w:rPr>
        <w:t>A t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ransi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çã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o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Se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çã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o da Tonalidade Relativa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Continua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çã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o da Se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çã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o da Ton</w:t>
      </w:r>
      <w:r>
        <w:rPr>
          <w:b w:val="0"/>
          <w:bCs w:val="0"/>
          <w:kern w:val="0"/>
          <w:sz w:val="24"/>
          <w:szCs w:val="24"/>
          <w:rtl w:val="0"/>
          <w:lang w:val="en-US"/>
        </w:rPr>
        <w:t>alidade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 xml:space="preserve"> Relativa (Tema ou Grupo de Temas de Fechamento)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Se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çã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o de Desenvolvimento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Recapitula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çã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o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A introdu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çã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o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A Coda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Modifica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çõ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es da Forma Sonata (sonatina, sonatina ampliada, sonata rondo)</w:t>
      </w:r>
    </w:p>
    <w:p>
      <w:pPr>
        <w:pStyle w:val="Título"/>
        <w:keepNext w:val="0"/>
        <w:keepLines w:val="0"/>
        <w:numPr>
          <w:ilvl w:val="0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O Concerto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Movimentos Externos do Concerto Barroco; O Movimento do Concerto Grosso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Forma do Movimento do Concerto Grosso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O Primeiro Movimento do Concerto Cl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á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ssico: A Forma Concerto-Sonata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O Terceiro Movimento do Concerto Cl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á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ssico: Forma Concerto-Rondo</w:t>
      </w:r>
    </w:p>
    <w:p>
      <w:pPr>
        <w:pStyle w:val="Título"/>
        <w:keepNext w:val="0"/>
        <w:keepLines w:val="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="Calibri" w:cs="Calibri" w:hAnsi="Calibri" w:eastAsia="Calibri"/>
          <w:b w:val="0"/>
          <w:bCs w:val="0"/>
          <w:kern w:val="0"/>
          <w:sz w:val="24"/>
          <w:szCs w:val="24"/>
          <w:lang w:val="pt-PT"/>
        </w:rPr>
      </w:pPr>
      <w:r>
        <w:rPr>
          <w:b w:val="0"/>
          <w:bCs w:val="0"/>
          <w:kern w:val="0"/>
          <w:sz w:val="24"/>
          <w:szCs w:val="24"/>
          <w:rtl w:val="0"/>
          <w:lang w:val="pt-PT"/>
        </w:rPr>
        <w:t>Nota Hist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ó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rica Sobre o Concerto Ap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ó</w:t>
      </w:r>
      <w:r>
        <w:rPr>
          <w:b w:val="0"/>
          <w:bCs w:val="0"/>
          <w:kern w:val="0"/>
          <w:sz w:val="24"/>
          <w:szCs w:val="24"/>
          <w:rtl w:val="0"/>
          <w:lang w:val="pt-PT"/>
        </w:rPr>
        <w:t>s Beethoven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Metodologia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Aulas expositivas e te</w:t>
      </w:r>
      <w:r>
        <w:rPr>
          <w:rFonts w:ascii="Calibri" w:cs="Calibri" w:hAnsi="Calibri" w:eastAsia="Calibri"/>
          <w:rtl w:val="0"/>
          <w:lang w:val="pt-PT"/>
        </w:rPr>
        <w:t>ó</w:t>
      </w:r>
      <w:r>
        <w:rPr>
          <w:rFonts w:ascii="Calibri" w:cs="Calibri" w:hAnsi="Calibri" w:eastAsia="Calibri"/>
          <w:rtl w:val="0"/>
          <w:lang w:val="pt-PT"/>
        </w:rPr>
        <w:t>rico-pr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ticas com audi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 xml:space="preserve">o de trechos em 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udio ou ao piano.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Atividades de composi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>o e aplica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>o de no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da teoria em pequenos trechos musicais.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Resolu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de problemas em pequenas composi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es, experimentos e exerc</w:t>
      </w:r>
      <w:r>
        <w:rPr>
          <w:rFonts w:ascii="Calibri" w:cs="Calibri" w:hAnsi="Calibri" w:eastAsia="Calibri"/>
          <w:rtl w:val="0"/>
          <w:lang w:val="pt-PT"/>
        </w:rPr>
        <w:t>í</w:t>
      </w:r>
      <w:r>
        <w:rPr>
          <w:rFonts w:ascii="Calibri" w:cs="Calibri" w:hAnsi="Calibri" w:eastAsia="Calibri"/>
          <w:rtl w:val="0"/>
          <w:lang w:val="pt-PT"/>
        </w:rPr>
        <w:t>cios dirigidos.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Audi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e an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lises de obras significativas da literatura musical para cada t</w:t>
      </w:r>
      <w:r>
        <w:rPr>
          <w:rFonts w:ascii="Calibri" w:cs="Calibri" w:hAnsi="Calibri" w:eastAsia="Calibri"/>
          <w:rtl w:val="0"/>
          <w:lang w:val="pt-PT"/>
        </w:rPr>
        <w:t>ó</w:t>
      </w:r>
      <w:r>
        <w:rPr>
          <w:rFonts w:ascii="Calibri" w:cs="Calibri" w:hAnsi="Calibri" w:eastAsia="Calibri"/>
          <w:rtl w:val="0"/>
          <w:lang w:val="pt-PT"/>
        </w:rPr>
        <w:t>pico desenvolvido.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Avalia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</w:t>
      </w:r>
    </w:p>
    <w:p>
      <w:pPr>
        <w:pStyle w:val="Body A A"/>
      </w:pPr>
      <w:r>
        <w:rPr>
          <w:rtl w:val="0"/>
          <w:lang w:val="pt-PT"/>
        </w:rPr>
        <w:t>Provas</w:t>
      </w:r>
      <w:r>
        <w:rPr>
          <w:rtl w:val="0"/>
          <w:lang w:val="en-US"/>
        </w:rPr>
        <w:t xml:space="preserve"> e/ou trabalhos pr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ticos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Bibliografia</w:t>
      </w:r>
    </w:p>
    <w:p>
      <w:pPr>
        <w:pStyle w:val="Padrão"/>
        <w:rPr>
          <w:rFonts w:ascii="Trebuchet MS" w:cs="Trebuchet MS" w:hAnsi="Trebuchet MS" w:eastAsia="Trebuchet MS"/>
          <w:i w:val="1"/>
          <w:iCs w:val="1"/>
        </w:rPr>
      </w:pPr>
      <w:r>
        <w:rPr>
          <w:rFonts w:ascii="Trebuchet MS" w:hAnsi="Trebuchet MS"/>
          <w:i w:val="1"/>
          <w:iCs w:val="1"/>
          <w:rtl w:val="0"/>
          <w:lang w:val="en-US"/>
        </w:rPr>
        <w:t>Principal</w:t>
      </w:r>
    </w:p>
    <w:p>
      <w:pPr>
        <w:pStyle w:val="Default"/>
        <w:spacing w:line="300" w:lineRule="atLeast"/>
        <w:rPr>
          <w:rFonts w:ascii="Calibri" w:cs="Calibri" w:hAnsi="Calibri" w:eastAsia="Calibri"/>
          <w:sz w:val="24"/>
          <w:szCs w:val="24"/>
          <w:shd w:val="clear" w:color="auto" w:fill="ffffff"/>
        </w:rPr>
      </w:pP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Zamacois, Joaquim.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 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 xml:space="preserve">Curso de formas musicales : con numerosos ejemplos musicales. Barcelona: 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en-US"/>
        </w:rPr>
        <w:t>Editorial Labor Espanha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 xml:space="preserve">, 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en-US"/>
        </w:rPr>
        <w:t>1960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.</w:t>
      </w:r>
    </w:p>
    <w:p>
      <w:pPr>
        <w:pStyle w:val="Padrão"/>
        <w:rPr>
          <w:rFonts w:ascii="Calibri" w:cs="Calibri" w:hAnsi="Calibri" w:eastAsia="Calibri"/>
          <w:lang w:val="pt-PT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Kostka, Stefan e Payne, Dorothy.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Tonal Harmony</w:t>
      </w:r>
      <w:r>
        <w:rPr>
          <w:rFonts w:ascii="Calibri" w:cs="Calibri" w:hAnsi="Calibri" w:eastAsia="Calibri"/>
          <w:rtl w:val="0"/>
          <w:lang w:val="en-US"/>
        </w:rPr>
        <w:t>. Nova York: Alfred A. Knopf, 1989.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Trebuchet MS" w:cs="Trebuchet MS" w:hAnsi="Trebuchet MS" w:eastAsia="Trebuchet MS"/>
          <w:i w:val="1"/>
          <w:iCs w:val="1"/>
        </w:rPr>
      </w:pPr>
      <w:r>
        <w:rPr>
          <w:rFonts w:ascii="Trebuchet MS" w:hAnsi="Trebuchet MS"/>
          <w:i w:val="1"/>
          <w:iCs w:val="1"/>
          <w:rtl w:val="0"/>
          <w:lang w:val="en-US"/>
        </w:rPr>
        <w:t>Auxiliar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Aldwell, Edward e Schachter, Carl.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Harmony and Voice Leading</w:t>
      </w:r>
      <w:r>
        <w:rPr>
          <w:rFonts w:ascii="Calibri" w:cs="Calibri" w:hAnsi="Calibri" w:eastAsia="Calibri"/>
          <w:rtl w:val="0"/>
          <w:lang w:val="en-US"/>
        </w:rPr>
        <w:t>. 2a ed. San Diego: Harcourt Brace Jovanovich, 1989.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Bitsch, Marcel e Gallon, No</w:t>
      </w:r>
      <w:r>
        <w:rPr>
          <w:rFonts w:ascii="Calibri" w:cs="Calibri" w:hAnsi="Calibri" w:eastAsia="Calibri"/>
          <w:rtl w:val="0"/>
          <w:lang w:val="en-US"/>
        </w:rPr>
        <w:t>ë</w:t>
      </w:r>
      <w:r>
        <w:rPr>
          <w:rFonts w:ascii="Calibri" w:cs="Calibri" w:hAnsi="Calibri" w:eastAsia="Calibri"/>
          <w:rtl w:val="0"/>
          <w:lang w:val="en-US"/>
        </w:rPr>
        <w:t xml:space="preserve">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Trait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 xml:space="preserve">é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de contrepoint</w:t>
      </w:r>
      <w:r>
        <w:rPr>
          <w:rFonts w:ascii="Calibri" w:cs="Calibri" w:hAnsi="Calibri" w:eastAsia="Calibri"/>
          <w:rtl w:val="0"/>
          <w:lang w:val="en-US"/>
        </w:rPr>
        <w:t>. Paris: Durand, 1964.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Forte, Allen.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Tonal Harmony in Concept and Practice</w:t>
      </w:r>
      <w:r>
        <w:rPr>
          <w:rFonts w:ascii="Calibri" w:cs="Calibri" w:hAnsi="Calibri" w:eastAsia="Calibri"/>
          <w:rtl w:val="0"/>
          <w:lang w:val="en-US"/>
        </w:rPr>
        <w:t>. 3a ed. Nova York: Holt, Rinehart &amp; Winston, 1979.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Green, Douglass.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Form in Tonal Music. An Introduction to Analysis</w:t>
      </w:r>
      <w:r>
        <w:rPr>
          <w:rFonts w:ascii="Calibri" w:cs="Calibri" w:hAnsi="Calibri" w:eastAsia="Calibri"/>
          <w:rtl w:val="0"/>
          <w:lang w:val="en-US"/>
        </w:rPr>
        <w:t>. Chicago: Halt, Rinehart &amp; Winston, 1979.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Grout, Donald Jay.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A History of Western Music</w:t>
      </w:r>
      <w:r>
        <w:rPr>
          <w:rFonts w:ascii="Calibri" w:cs="Calibri" w:hAnsi="Calibri" w:eastAsia="Calibri"/>
          <w:rtl w:val="0"/>
          <w:lang w:val="en-US"/>
        </w:rPr>
        <w:t>. 3a ed. com Claude Palisca. Nova York: W.W. Norton, 1980.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Koechlin, Charles.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Trait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 xml:space="preserve">é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de l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’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Harmonie</w:t>
      </w:r>
      <w:r>
        <w:rPr>
          <w:rFonts w:ascii="Calibri" w:cs="Calibri" w:hAnsi="Calibri" w:eastAsia="Calibri"/>
          <w:rtl w:val="0"/>
          <w:lang w:val="en-US"/>
        </w:rPr>
        <w:t>. 3 vol. Paris: Max Eschig, 1946.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Kohs, E. B. Musical Form: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Studies in Analysis and Synthesis</w:t>
      </w:r>
      <w:r>
        <w:rPr>
          <w:rFonts w:ascii="Calibri" w:cs="Calibri" w:hAnsi="Calibri" w:eastAsia="Calibri"/>
          <w:rtl w:val="0"/>
          <w:lang w:val="en-US"/>
        </w:rPr>
        <w:t>. Boston: Houghton Wifflin, 1976.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Michels, Ulrich.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Atlas de m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ú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sica</w:t>
      </w:r>
      <w:r>
        <w:rPr>
          <w:rFonts w:ascii="Calibri" w:cs="Calibri" w:hAnsi="Calibri" w:eastAsia="Calibri"/>
          <w:rtl w:val="0"/>
          <w:lang w:val="en-US"/>
        </w:rPr>
        <w:t>. Madrid: Alianza, 1982.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Randel, Don Michael.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Harvard Dictionary of Music</w:t>
      </w:r>
      <w:r>
        <w:rPr>
          <w:rFonts w:ascii="Calibri" w:cs="Calibri" w:hAnsi="Calibri" w:eastAsia="Calibri"/>
          <w:rtl w:val="0"/>
          <w:lang w:val="en-US"/>
        </w:rPr>
        <w:t>. Belknap Press, 2003.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Body A"/>
      </w:pPr>
      <w:r>
        <w:rPr>
          <w:rFonts w:ascii="Calibri" w:cs="Calibri" w:hAnsi="Calibri" w:eastAsia="Calibri"/>
        </w:rPr>
        <w:br w:type="page"/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Rosen, Charles.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The Classical Style</w:t>
      </w:r>
      <w:r>
        <w:rPr>
          <w:rFonts w:ascii="Calibri" w:cs="Calibri" w:hAnsi="Calibri" w:eastAsia="Calibri"/>
          <w:rtl w:val="0"/>
          <w:lang w:val="en-US"/>
        </w:rPr>
        <w:t>. 2 ed. Nova Iorque: Norton, 1997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_____. Sonata Forms. 2 ed. Nova Iorque: Norton, 1988.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 xml:space="preserve">Sadie, Stanley, ed. </w:t>
      </w:r>
      <w:r>
        <w:rPr>
          <w:rFonts w:ascii="Calibri" w:cs="Calibri" w:hAnsi="Calibri" w:eastAsia="Calibri"/>
          <w:i w:val="1"/>
          <w:iCs w:val="1"/>
          <w:rtl w:val="0"/>
          <w:lang w:val="pt-PT"/>
        </w:rPr>
        <w:t>The New Grove Dictionary of Music and Musicians</w:t>
      </w:r>
      <w:r>
        <w:rPr>
          <w:rFonts w:ascii="Calibri" w:cs="Calibri" w:hAnsi="Calibri" w:eastAsia="Calibri"/>
          <w:rtl w:val="0"/>
          <w:lang w:val="pt-PT"/>
        </w:rPr>
        <w:t>. Londres: MacMillan, 1980.</w:t>
      </w:r>
    </w:p>
    <w:p>
      <w:pPr>
        <w:pStyle w:val="Body A A"/>
      </w:pPr>
    </w:p>
    <w:p>
      <w:pPr>
        <w:pStyle w:val="Body A A"/>
      </w:pPr>
    </w:p>
    <w:p>
      <w:pPr>
        <w:pStyle w:val="Body A A"/>
      </w:pPr>
    </w:p>
    <w:tbl>
      <w:tblPr>
        <w:tblW w:w="548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75"/>
        <w:gridCol w:w="609"/>
      </w:tblGrid>
      <w:tr>
        <w:tblPrEx>
          <w:shd w:val="clear" w:color="auto" w:fill="ced7e7"/>
        </w:tblPrEx>
        <w:trPr>
          <w:trHeight w:val="613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</w:pPr>
            <w:r>
              <w:rPr>
                <w:sz w:val="20"/>
                <w:szCs w:val="20"/>
                <w:rtl w:val="0"/>
                <w:lang w:val="pt-PT"/>
              </w:rPr>
              <w:t>Programa de componente curricular proposto na reuni</w:t>
            </w:r>
            <w:r>
              <w:rPr>
                <w:sz w:val="20"/>
                <w:szCs w:val="20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rtl w:val="0"/>
                <w:lang w:val="pt-PT"/>
              </w:rPr>
              <w:t>o do Departamento, em 12/08/2016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32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  <w:rPr>
                <w:sz w:val="20"/>
                <w:szCs w:val="20"/>
              </w:rPr>
            </w:pPr>
          </w:p>
          <w:p>
            <w:pPr>
              <w:pStyle w:val="Body A"/>
              <w:jc w:val="center"/>
              <w:rPr>
                <w:sz w:val="20"/>
                <w:szCs w:val="20"/>
              </w:rPr>
            </w:pPr>
          </w:p>
          <w:p>
            <w:pPr>
              <w:pStyle w:val="Body A"/>
              <w:jc w:val="center"/>
              <w:rPr>
                <w:sz w:val="20"/>
                <w:szCs w:val="20"/>
              </w:rPr>
            </w:pPr>
          </w:p>
          <w:p>
            <w:pPr>
              <w:pStyle w:val="Body A"/>
              <w:jc w:val="center"/>
              <w:rPr>
                <w:sz w:val="20"/>
                <w:szCs w:val="20"/>
              </w:rPr>
            </w:pPr>
          </w:p>
          <w:p>
            <w:pPr>
              <w:pStyle w:val="Body A"/>
              <w:bidi w:val="0"/>
              <w:ind w:left="0" w:right="0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  <w:lang w:val="pt-PT"/>
              </w:rPr>
              <w:t>Pedro Ribeiro Kroger Junior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rtl w:val="0"/>
                <w:lang w:val="pt-PT"/>
              </w:rPr>
              <w:t>Chefe do Departamento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 A"/>
        <w:widowControl w:val="0"/>
        <w:spacing w:line="240" w:lineRule="auto"/>
        <w:ind w:left="108" w:hanging="108"/>
        <w:jc w:val="center"/>
      </w:pPr>
      <w:r/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100" w:lineRule="atLeast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pt-PT"/>
    </w:rPr>
  </w:style>
  <w:style w:type="paragraph" w:styleId="Título">
    <w:name w:val="Título"/>
    <w:next w:val="Título"/>
    <w:pPr>
      <w:keepNext w:val="1"/>
      <w:keepLines w:val="1"/>
      <w:pageBreakBefore w:val="0"/>
      <w:widowControl w:val="1"/>
      <w:shd w:val="clear" w:color="auto" w:fill="ffffff"/>
      <w:suppressAutoHyphens w:val="0"/>
      <w:bidi w:val="0"/>
      <w:spacing w:before="360" w:after="120" w:line="100" w:lineRule="atLeast"/>
      <w:ind w:left="0" w:right="0" w:firstLine="0"/>
      <w:jc w:val="left"/>
      <w:outlineLvl w:val="9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8"/>
      <w:szCs w:val="28"/>
      <w:u w:val="none" w:color="000000"/>
      <w:vertAlign w:val="baseline"/>
      <w:lang w:val="pt-PT"/>
    </w:rPr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  <w:lang w:val="pt-PT"/>
    </w:rPr>
  </w:style>
  <w:style w:type="numbering" w:styleId="Imported Style 1">
    <w:name w:val="Imported Style 1"/>
    <w:pPr>
      <w:numPr>
        <w:numId w:val="1"/>
      </w:numPr>
    </w:p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100" w:lineRule="atLeast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